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963" w:rsidRDefault="00556357" w14:paraId="37C96EA5" w14:textId="77777777">
      <w:pPr>
        <w:jc w:val="center"/>
        <w:rPr>
          <w:b/>
          <w:color w:val="000000"/>
          <w:sz w:val="28"/>
          <w:szCs w:val="28"/>
        </w:rPr>
      </w:pPr>
      <w:r>
        <w:rPr>
          <w:b/>
          <w:color w:val="000000"/>
          <w:sz w:val="28"/>
          <w:szCs w:val="28"/>
        </w:rPr>
        <w:t xml:space="preserve">Language Instruction Educational Program (LIEP) Services </w:t>
      </w:r>
    </w:p>
    <w:p w:rsidR="00484963" w:rsidRDefault="00556357" w14:paraId="45A66EA8" w14:textId="77777777">
      <w:pPr>
        <w:rPr>
          <w:color w:val="000000"/>
        </w:rPr>
      </w:pPr>
      <w:r>
        <w:rPr>
          <w:color w:val="000000"/>
        </w:rPr>
        <w:t xml:space="preserve"> </w:t>
      </w:r>
    </w:p>
    <w:p w:rsidR="00484963" w:rsidRDefault="00484963" w14:paraId="1CEFFE26" w14:textId="77777777">
      <w:pPr>
        <w:jc w:val="center"/>
      </w:pPr>
    </w:p>
    <w:tbl>
      <w:tblPr>
        <w:tblStyle w:val="a2"/>
        <w:tblW w:w="1108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1088"/>
      </w:tblGrid>
      <w:tr w:rsidR="00484963" w14:paraId="1400C31C" w14:textId="77777777">
        <w:trPr>
          <w:trHeight w:val="765"/>
          <w:jc w:val="center"/>
        </w:trPr>
        <w:tc>
          <w:tcPr>
            <w:tcW w:w="11088" w:type="dxa"/>
            <w:shd w:val="clear" w:color="auto" w:fill="auto"/>
            <w:tcMar>
              <w:top w:w="100" w:type="dxa"/>
              <w:left w:w="100" w:type="dxa"/>
              <w:bottom w:w="100" w:type="dxa"/>
              <w:right w:w="100" w:type="dxa"/>
            </w:tcMar>
          </w:tcPr>
          <w:p w:rsidR="00484963" w:rsidRDefault="00556357" w14:paraId="3DF5A67C" w14:textId="77777777">
            <w:pPr>
              <w:rPr>
                <w:b/>
                <w:sz w:val="18"/>
                <w:szCs w:val="18"/>
              </w:rPr>
            </w:pPr>
            <w:r>
              <w:rPr>
                <w:b/>
                <w:color w:val="FF0000"/>
                <w:sz w:val="18"/>
                <w:szCs w:val="18"/>
              </w:rPr>
              <w:t xml:space="preserve">Please verify that your PSU is a Title III Subgrantee (based on your PRC 104 allotment or consortium membership) before completing this form. </w:t>
            </w:r>
            <w:r>
              <w:rPr>
                <w:b/>
                <w:sz w:val="18"/>
                <w:szCs w:val="18"/>
              </w:rPr>
              <w:t xml:space="preserve">You may determine this by searching for your PSU information in the </w:t>
            </w:r>
            <w:hyperlink r:id="rId8">
              <w:r>
                <w:rPr>
                  <w:b/>
                  <w:color w:val="4A86E8"/>
                  <w:sz w:val="18"/>
                  <w:szCs w:val="18"/>
                  <w:u w:val="single"/>
                </w:rPr>
                <w:t>public estimated (planning) allotment site</w:t>
              </w:r>
            </w:hyperlink>
            <w:r>
              <w:rPr>
                <w:b/>
                <w:sz w:val="18"/>
                <w:szCs w:val="18"/>
              </w:rPr>
              <w:t>. Select the year you need (i.e. 2023-2024) from the drop-down menu, look for PRC 104 and then if the allotment that is listed is below $10,000, then you’re a non-subgrantee and if it is above, then you are a subgrantee.</w:t>
            </w:r>
          </w:p>
        </w:tc>
      </w:tr>
    </w:tbl>
    <w:p w:rsidR="00484963" w:rsidRDefault="00484963" w14:paraId="7C49B766" w14:textId="77777777">
      <w:pPr>
        <w:rPr>
          <w:b/>
          <w:sz w:val="20"/>
          <w:szCs w:val="20"/>
        </w:rPr>
      </w:pPr>
    </w:p>
    <w:p w:rsidR="00484963" w:rsidRDefault="00484963" w14:paraId="330DC708" w14:textId="77777777">
      <w:pPr>
        <w:rPr>
          <w:b/>
          <w:sz w:val="20"/>
          <w:szCs w:val="20"/>
        </w:rPr>
      </w:pPr>
    </w:p>
    <w:tbl>
      <w:tblPr>
        <w:tblStyle w:val="a3"/>
        <w:tblW w:w="109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648"/>
        <w:gridCol w:w="3648"/>
        <w:gridCol w:w="3648"/>
      </w:tblGrid>
      <w:tr w:rsidR="00484963" w14:paraId="2707373C" w14:textId="77777777">
        <w:tc>
          <w:tcPr>
            <w:tcW w:w="3648" w:type="dxa"/>
            <w:shd w:val="clear" w:color="auto" w:fill="auto"/>
            <w:tcMar>
              <w:top w:w="100" w:type="dxa"/>
              <w:left w:w="100" w:type="dxa"/>
              <w:bottom w:w="100" w:type="dxa"/>
              <w:right w:w="100" w:type="dxa"/>
            </w:tcMar>
          </w:tcPr>
          <w:p w:rsidR="00484963" w:rsidRDefault="00556357" w14:paraId="329944DD" w14:textId="77777777">
            <w:pPr>
              <w:rPr>
                <w:b/>
                <w:sz w:val="20"/>
                <w:szCs w:val="20"/>
              </w:rPr>
            </w:pPr>
            <w:r>
              <w:rPr>
                <w:b/>
                <w:sz w:val="20"/>
                <w:szCs w:val="20"/>
              </w:rPr>
              <w:t>PSU Name:</w:t>
            </w:r>
          </w:p>
        </w:tc>
        <w:tc>
          <w:tcPr>
            <w:tcW w:w="3648" w:type="dxa"/>
            <w:shd w:val="clear" w:color="auto" w:fill="auto"/>
            <w:tcMar>
              <w:top w:w="100" w:type="dxa"/>
              <w:left w:w="100" w:type="dxa"/>
              <w:bottom w:w="100" w:type="dxa"/>
              <w:right w:w="100" w:type="dxa"/>
            </w:tcMar>
          </w:tcPr>
          <w:p w:rsidR="00484963" w:rsidRDefault="00556357" w14:paraId="3CF3ACA6" w14:textId="77777777">
            <w:pPr>
              <w:rPr>
                <w:b/>
                <w:sz w:val="20"/>
                <w:szCs w:val="20"/>
              </w:rPr>
            </w:pPr>
            <w:r>
              <w:rPr>
                <w:b/>
                <w:sz w:val="20"/>
                <w:szCs w:val="20"/>
              </w:rPr>
              <w:t xml:space="preserve">Email: </w:t>
            </w:r>
          </w:p>
        </w:tc>
        <w:tc>
          <w:tcPr>
            <w:tcW w:w="3648" w:type="dxa"/>
            <w:shd w:val="clear" w:color="auto" w:fill="auto"/>
            <w:tcMar>
              <w:top w:w="100" w:type="dxa"/>
              <w:left w:w="100" w:type="dxa"/>
              <w:bottom w:w="100" w:type="dxa"/>
              <w:right w:w="100" w:type="dxa"/>
            </w:tcMar>
          </w:tcPr>
          <w:p w:rsidR="00484963" w:rsidRDefault="00484963" w14:paraId="6B333864" w14:textId="77777777">
            <w:pPr>
              <w:widowControl w:val="0"/>
              <w:pBdr>
                <w:top w:val="nil"/>
                <w:left w:val="nil"/>
                <w:bottom w:val="nil"/>
                <w:right w:val="nil"/>
                <w:between w:val="nil"/>
              </w:pBdr>
              <w:rPr>
                <w:b/>
                <w:sz w:val="20"/>
                <w:szCs w:val="20"/>
              </w:rPr>
            </w:pPr>
          </w:p>
        </w:tc>
      </w:tr>
      <w:tr w:rsidR="00484963" w14:paraId="65AA1873" w14:textId="77777777">
        <w:tc>
          <w:tcPr>
            <w:tcW w:w="3648" w:type="dxa"/>
            <w:shd w:val="clear" w:color="auto" w:fill="auto"/>
            <w:tcMar>
              <w:top w:w="100" w:type="dxa"/>
              <w:left w:w="100" w:type="dxa"/>
              <w:bottom w:w="100" w:type="dxa"/>
              <w:right w:w="100" w:type="dxa"/>
            </w:tcMar>
          </w:tcPr>
          <w:p w:rsidR="00484963" w:rsidRDefault="00556357" w14:paraId="5ADEC9A5" w14:textId="77777777">
            <w:pPr>
              <w:rPr>
                <w:b/>
                <w:sz w:val="20"/>
                <w:szCs w:val="20"/>
              </w:rPr>
            </w:pPr>
            <w:r>
              <w:rPr>
                <w:b/>
                <w:sz w:val="20"/>
                <w:szCs w:val="20"/>
              </w:rPr>
              <w:t xml:space="preserve">PSU Number: </w:t>
            </w:r>
          </w:p>
        </w:tc>
        <w:tc>
          <w:tcPr>
            <w:tcW w:w="3648" w:type="dxa"/>
            <w:shd w:val="clear" w:color="auto" w:fill="auto"/>
            <w:tcMar>
              <w:top w:w="100" w:type="dxa"/>
              <w:left w:w="100" w:type="dxa"/>
              <w:bottom w:w="100" w:type="dxa"/>
              <w:right w:w="100" w:type="dxa"/>
            </w:tcMar>
          </w:tcPr>
          <w:p w:rsidR="00484963" w:rsidRDefault="00556357" w14:paraId="2FEA9868" w14:textId="77777777">
            <w:pPr>
              <w:rPr>
                <w:b/>
                <w:sz w:val="20"/>
                <w:szCs w:val="20"/>
              </w:rPr>
            </w:pPr>
            <w:r>
              <w:rPr>
                <w:b/>
                <w:sz w:val="20"/>
                <w:szCs w:val="20"/>
              </w:rPr>
              <w:t>Contact Name:</w:t>
            </w:r>
          </w:p>
        </w:tc>
        <w:tc>
          <w:tcPr>
            <w:tcW w:w="3648" w:type="dxa"/>
            <w:shd w:val="clear" w:color="auto" w:fill="auto"/>
            <w:tcMar>
              <w:top w:w="100" w:type="dxa"/>
              <w:left w:w="100" w:type="dxa"/>
              <w:bottom w:w="100" w:type="dxa"/>
              <w:right w:w="100" w:type="dxa"/>
            </w:tcMar>
          </w:tcPr>
          <w:p w:rsidR="00484963" w:rsidRDefault="00556357" w14:paraId="55E5A2F9" w14:textId="77777777">
            <w:pPr>
              <w:rPr>
                <w:b/>
                <w:sz w:val="20"/>
                <w:szCs w:val="20"/>
              </w:rPr>
            </w:pPr>
            <w:r>
              <w:rPr>
                <w:b/>
                <w:sz w:val="20"/>
                <w:szCs w:val="20"/>
              </w:rPr>
              <w:t>Phone:</w:t>
            </w:r>
          </w:p>
        </w:tc>
      </w:tr>
    </w:tbl>
    <w:p w:rsidR="00484963" w:rsidRDefault="00484963" w14:paraId="4978E67E" w14:textId="77777777">
      <w:pPr>
        <w:rPr>
          <w:b/>
          <w:sz w:val="18"/>
          <w:szCs w:val="18"/>
        </w:rPr>
      </w:pPr>
    </w:p>
    <w:p w:rsidR="00484963" w:rsidRDefault="00556357" w14:paraId="3E2F4D22" w14:textId="77777777">
      <w:pPr>
        <w:ind w:right="18"/>
        <w:rPr>
          <w:b/>
          <w:i/>
          <w:sz w:val="22"/>
          <w:szCs w:val="22"/>
        </w:rPr>
      </w:pPr>
      <w:r>
        <w:rPr>
          <w:b/>
          <w:i/>
          <w:sz w:val="22"/>
          <w:szCs w:val="22"/>
        </w:rPr>
        <w:t xml:space="preserve">Please complete both sections of this document: </w:t>
      </w:r>
    </w:p>
    <w:p w:rsidR="00484963" w:rsidRDefault="00556357" w14:paraId="37AEF7A1" w14:textId="77777777">
      <w:pPr>
        <w:numPr>
          <w:ilvl w:val="0"/>
          <w:numId w:val="1"/>
        </w:numPr>
        <w:ind w:right="18"/>
        <w:rPr>
          <w:b/>
          <w:i/>
          <w:sz w:val="22"/>
          <w:szCs w:val="22"/>
        </w:rPr>
      </w:pPr>
      <w:r>
        <w:rPr>
          <w:b/>
          <w:i/>
          <w:sz w:val="22"/>
          <w:szCs w:val="22"/>
        </w:rPr>
        <w:t xml:space="preserve">section I BASIC Program and </w:t>
      </w:r>
    </w:p>
    <w:p w:rsidR="00484963" w:rsidRDefault="00556357" w14:paraId="4E5EB301" w14:textId="77777777">
      <w:pPr>
        <w:numPr>
          <w:ilvl w:val="0"/>
          <w:numId w:val="1"/>
        </w:numPr>
        <w:ind w:right="18"/>
        <w:rPr>
          <w:b/>
          <w:i/>
          <w:sz w:val="22"/>
          <w:szCs w:val="22"/>
        </w:rPr>
      </w:pPr>
      <w:r>
        <w:rPr>
          <w:b/>
          <w:i/>
          <w:sz w:val="22"/>
          <w:szCs w:val="22"/>
        </w:rPr>
        <w:t>section II Title III (PRC 104) Supplemental</w:t>
      </w:r>
    </w:p>
    <w:p w:rsidR="00484963" w:rsidRDefault="00484963" w14:paraId="22060D33" w14:textId="77777777">
      <w:pPr>
        <w:ind w:right="18"/>
        <w:rPr>
          <w:b/>
          <w:sz w:val="20"/>
          <w:szCs w:val="20"/>
        </w:rPr>
      </w:pPr>
    </w:p>
    <w:p w:rsidR="00484963" w:rsidRDefault="00556357" w14:paraId="5D351D37" w14:textId="77777777">
      <w:pPr>
        <w:pStyle w:val="Heading3"/>
        <w:ind w:right="18"/>
        <w:jc w:val="center"/>
      </w:pPr>
      <w:bookmarkStart w:name="_heading=h.nokvg433eh0p" w:colFirst="0" w:colLast="0" w:id="0"/>
      <w:bookmarkEnd w:id="0"/>
      <w:r>
        <w:t xml:space="preserve">I. BASIC Program: </w:t>
      </w:r>
    </w:p>
    <w:p w:rsidR="00484963" w:rsidRDefault="00484963" w14:paraId="59AEAFF4" w14:textId="77777777"/>
    <w:p w:rsidR="00484963" w:rsidRDefault="00556357" w14:paraId="1DA10FD7" w14:textId="2AD839FC">
      <w:pPr>
        <w:ind w:right="18"/>
      </w:pPr>
      <w:r>
        <w:rPr>
          <w:i/>
          <w:sz w:val="18"/>
          <w:szCs w:val="18"/>
        </w:rPr>
        <w:t>"Under Title VI of the Civil Rights Act of 1964 (Title VI) and the Equal Educational Opportunities Act of 1974 (EEOA), public schools must ensure that EL students can participate meaningfully and equally in educational programs. EL programs must be reasonably calculated to enable EL students to attain English proficiency and meaningful participation in the standard educational program comparable to their never-EL peers.”  </w:t>
      </w:r>
      <w:hyperlink r:id="rId9">
        <w:r>
          <w:rPr>
            <w:color w:val="A6A7DC"/>
            <w:sz w:val="20"/>
            <w:szCs w:val="20"/>
            <w:u w:val="single"/>
          </w:rPr>
          <w:t>Providing English Learners Equal Access to Curricular and Extracurricular Programs, EL Toolkit</w:t>
        </w:r>
        <w:r>
          <w:rPr>
            <w:color w:val="A6A7DC"/>
            <w:sz w:val="20"/>
            <w:szCs w:val="20"/>
            <w:u w:val="single"/>
          </w:rPr>
          <w:t>, Chapter 4.</w:t>
        </w:r>
      </w:hyperlink>
    </w:p>
    <w:p w:rsidR="00484963" w:rsidRDefault="00484963" w14:paraId="46E969AC" w14:textId="77777777">
      <w:pPr>
        <w:spacing w:line="276" w:lineRule="auto"/>
      </w:pPr>
    </w:p>
    <w:p w:rsidR="00484963" w:rsidRDefault="00556357" w14:paraId="0387B8AA" w14:textId="77777777">
      <w:pPr>
        <w:spacing w:line="276" w:lineRule="auto"/>
        <w:rPr>
          <w:sz w:val="22"/>
          <w:szCs w:val="22"/>
        </w:rPr>
      </w:pPr>
      <w:r>
        <w:rPr>
          <w:sz w:val="22"/>
          <w:szCs w:val="22"/>
        </w:rPr>
        <w:t xml:space="preserve">Using the constructs below, create an LIEP continuum rubric of services (Basic and Supplemental) for your LEA/Charter. Consider the </w:t>
      </w:r>
      <w:r>
        <w:rPr>
          <w:b/>
          <w:i/>
          <w:sz w:val="22"/>
          <w:szCs w:val="22"/>
        </w:rPr>
        <w:t>Context</w:t>
      </w:r>
      <w:r>
        <w:rPr>
          <w:sz w:val="22"/>
          <w:szCs w:val="22"/>
        </w:rPr>
        <w:t xml:space="preserve"> in which services are provided in the LEA/Charter, the </w:t>
      </w:r>
      <w:r>
        <w:rPr>
          <w:b/>
          <w:i/>
          <w:sz w:val="22"/>
          <w:szCs w:val="22"/>
        </w:rPr>
        <w:t>Criteria</w:t>
      </w:r>
      <w:r>
        <w:rPr>
          <w:b/>
          <w:i/>
          <w:sz w:val="22"/>
          <w:szCs w:val="22"/>
          <w:vertAlign w:val="superscript"/>
        </w:rPr>
        <w:t xml:space="preserve"> </w:t>
      </w:r>
      <w:r>
        <w:rPr>
          <w:sz w:val="22"/>
          <w:szCs w:val="22"/>
        </w:rPr>
        <w:t xml:space="preserve">for determining the category of service, and the actual </w:t>
      </w:r>
      <w:r>
        <w:rPr>
          <w:b/>
          <w:i/>
          <w:sz w:val="22"/>
          <w:szCs w:val="22"/>
        </w:rPr>
        <w:t>Menu/List of Services</w:t>
      </w:r>
      <w:r>
        <w:rPr>
          <w:sz w:val="22"/>
          <w:szCs w:val="22"/>
        </w:rPr>
        <w:t xml:space="preserve"> that correspond to each category of service from the sample list below.  Specify how you are providing LIEP services for EL/AIG and EL/EC students. </w:t>
      </w:r>
    </w:p>
    <w:p w:rsidR="00484963" w:rsidRDefault="00484963" w14:paraId="08C408AF" w14:textId="77777777">
      <w:pPr>
        <w:spacing w:line="276" w:lineRule="auto"/>
        <w:rPr>
          <w:sz w:val="22"/>
          <w:szCs w:val="22"/>
        </w:rPr>
      </w:pPr>
    </w:p>
    <w:p w:rsidR="00484963" w:rsidRDefault="00556357" w14:paraId="638DDA85" w14:textId="697454B3">
      <w:pPr>
        <w:spacing w:line="276" w:lineRule="auto"/>
        <w:rPr>
          <w:sz w:val="22"/>
          <w:szCs w:val="22"/>
        </w:rPr>
      </w:pPr>
      <w:r w:rsidRPr="06452994" w:rsidR="00556357">
        <w:rPr>
          <w:sz w:val="22"/>
          <w:szCs w:val="22"/>
        </w:rPr>
        <w:t xml:space="preserve">The frequency and services may vary from district to district and school to school based on EL population, resources, and schedules.  </w:t>
      </w:r>
      <w:r w:rsidRPr="06452994" w:rsidR="061CD257">
        <w:rPr>
          <w:sz w:val="22"/>
          <w:szCs w:val="22"/>
        </w:rPr>
        <w:t>Students can be served by many educational professionals through a variety of services in collaboration with ESL staff.</w:t>
      </w:r>
      <w:r w:rsidRPr="06452994" w:rsidR="00556357">
        <w:rPr>
          <w:sz w:val="22"/>
          <w:szCs w:val="22"/>
        </w:rPr>
        <w:t xml:space="preserve"> </w:t>
      </w:r>
    </w:p>
    <w:p w:rsidR="00484963" w:rsidRDefault="00484963" w14:paraId="5404FBF4" w14:textId="77777777">
      <w:pPr>
        <w:spacing w:line="276" w:lineRule="auto"/>
        <w:rPr>
          <w:sz w:val="22"/>
          <w:szCs w:val="22"/>
        </w:rPr>
      </w:pPr>
    </w:p>
    <w:tbl>
      <w:tblPr>
        <w:tblStyle w:val="a4"/>
        <w:tblW w:w="10957"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48"/>
        <w:gridCol w:w="3647"/>
        <w:gridCol w:w="3662"/>
      </w:tblGrid>
      <w:tr w:rsidR="00484963" w14:paraId="3CDE6BA8" w14:textId="77777777">
        <w:tc>
          <w:tcPr>
            <w:tcW w:w="10956" w:type="dxa"/>
            <w:gridSpan w:val="3"/>
            <w:tcBorders>
              <w:bottom w:val="single" w:color="000000" w:sz="4" w:space="0"/>
            </w:tcBorders>
            <w:shd w:val="clear" w:color="auto" w:fill="EEECE1"/>
          </w:tcPr>
          <w:p w:rsidR="00484963" w:rsidRDefault="00556357" w14:paraId="5E429F19" w14:textId="77777777">
            <w:pPr>
              <w:rPr>
                <w:b/>
                <w:color w:val="000000"/>
              </w:rPr>
            </w:pPr>
            <w:r>
              <w:rPr>
                <w:b/>
                <w:color w:val="000000"/>
                <w:vertAlign w:val="superscript"/>
              </w:rPr>
              <w:t>1</w:t>
            </w:r>
            <w:r>
              <w:rPr>
                <w:b/>
                <w:color w:val="000000"/>
              </w:rPr>
              <w:t xml:space="preserve"> Context/Resources</w:t>
            </w:r>
          </w:p>
        </w:tc>
      </w:tr>
      <w:tr w:rsidR="00484963" w14:paraId="4C49FA02" w14:textId="77777777">
        <w:tc>
          <w:tcPr>
            <w:tcW w:w="10956" w:type="dxa"/>
            <w:gridSpan w:val="3"/>
            <w:tcBorders>
              <w:bottom w:val="single" w:color="000000" w:sz="4" w:space="0"/>
            </w:tcBorders>
          </w:tcPr>
          <w:p w:rsidR="00484963" w:rsidRDefault="00484963" w14:paraId="3BD4E340" w14:textId="77777777">
            <w:pPr>
              <w:ind w:left="360"/>
              <w:rPr>
                <w:color w:val="000000"/>
                <w:sz w:val="20"/>
                <w:szCs w:val="20"/>
              </w:rPr>
            </w:pPr>
          </w:p>
          <w:p w:rsidR="00484963" w:rsidRDefault="00484963" w14:paraId="711ED235" w14:textId="77777777">
            <w:pPr>
              <w:pBdr>
                <w:top w:val="nil"/>
                <w:left w:val="nil"/>
                <w:bottom w:val="nil"/>
                <w:right w:val="nil"/>
                <w:between w:val="nil"/>
              </w:pBdr>
              <w:rPr>
                <w:color w:val="000000"/>
              </w:rPr>
            </w:pPr>
          </w:p>
          <w:p w:rsidR="00484963" w:rsidRDefault="00484963" w14:paraId="467331CA" w14:textId="77777777">
            <w:pPr>
              <w:ind w:left="360"/>
              <w:rPr>
                <w:color w:val="000000"/>
                <w:sz w:val="20"/>
                <w:szCs w:val="20"/>
              </w:rPr>
            </w:pPr>
          </w:p>
        </w:tc>
      </w:tr>
      <w:tr w:rsidR="00484963" w14:paraId="52000606" w14:textId="77777777">
        <w:tc>
          <w:tcPr>
            <w:tcW w:w="10956" w:type="dxa"/>
            <w:gridSpan w:val="3"/>
            <w:tcBorders>
              <w:bottom w:val="single" w:color="000000" w:sz="4" w:space="0"/>
            </w:tcBorders>
            <w:shd w:val="clear" w:color="auto" w:fill="EEECE1"/>
          </w:tcPr>
          <w:p w:rsidR="00484963" w:rsidRDefault="00556357" w14:paraId="4D090095" w14:textId="77777777">
            <w:pPr>
              <w:rPr>
                <w:i/>
                <w:color w:val="000000"/>
              </w:rPr>
            </w:pPr>
            <w:r>
              <w:rPr>
                <w:b/>
                <w:color w:val="000000"/>
                <w:vertAlign w:val="superscript"/>
              </w:rPr>
              <w:t>2</w:t>
            </w:r>
            <w:r>
              <w:rPr>
                <w:b/>
                <w:color w:val="000000"/>
              </w:rPr>
              <w:t xml:space="preserve"> Criteria to determine the category in which each EL is “</w:t>
            </w:r>
            <w:proofErr w:type="gramStart"/>
            <w:r>
              <w:rPr>
                <w:b/>
                <w:color w:val="000000"/>
              </w:rPr>
              <w:t>placed</w:t>
            </w:r>
            <w:proofErr w:type="gramEnd"/>
            <w:r>
              <w:rPr>
                <w:b/>
                <w:color w:val="000000"/>
              </w:rPr>
              <w:t>”</w:t>
            </w:r>
            <w:r>
              <w:rPr>
                <w:i/>
                <w:color w:val="000000"/>
              </w:rPr>
              <w:t xml:space="preserve"> </w:t>
            </w:r>
          </w:p>
          <w:p w:rsidR="00484963" w:rsidRDefault="00556357" w14:paraId="6D683682" w14:textId="77777777">
            <w:pPr>
              <w:rPr>
                <w:i/>
                <w:color w:val="000000"/>
                <w:sz w:val="20"/>
                <w:szCs w:val="20"/>
              </w:rPr>
            </w:pPr>
            <w:r>
              <w:rPr>
                <w:i/>
                <w:color w:val="000000"/>
                <w:sz w:val="20"/>
                <w:szCs w:val="20"/>
              </w:rPr>
              <w:t>NCDPI recommends the utilization of multiple data sources and data reflective practices</w:t>
            </w:r>
          </w:p>
        </w:tc>
      </w:tr>
      <w:tr w:rsidR="00484963" w14:paraId="1CAA6EEF" w14:textId="77777777">
        <w:tc>
          <w:tcPr>
            <w:tcW w:w="3647" w:type="dxa"/>
            <w:shd w:val="clear" w:color="auto" w:fill="auto"/>
          </w:tcPr>
          <w:p w:rsidR="00484963" w:rsidRDefault="00556357" w14:paraId="65F3E420" w14:textId="77777777">
            <w:pPr>
              <w:pBdr>
                <w:top w:val="nil"/>
                <w:left w:val="nil"/>
                <w:bottom w:val="nil"/>
                <w:right w:val="nil"/>
                <w:between w:val="nil"/>
              </w:pBdr>
              <w:rPr>
                <w:b/>
                <w:sz w:val="20"/>
                <w:szCs w:val="20"/>
              </w:rPr>
            </w:pPr>
            <w:r>
              <w:rPr>
                <w:b/>
                <w:sz w:val="20"/>
                <w:szCs w:val="20"/>
              </w:rPr>
              <w:t>Comprehensive - Entering/ Emerging</w:t>
            </w:r>
          </w:p>
        </w:tc>
        <w:tc>
          <w:tcPr>
            <w:tcW w:w="3647" w:type="dxa"/>
            <w:shd w:val="clear" w:color="auto" w:fill="auto"/>
          </w:tcPr>
          <w:p w:rsidR="00484963" w:rsidRDefault="00556357" w14:paraId="5883988F" w14:textId="77777777">
            <w:pPr>
              <w:pBdr>
                <w:top w:val="nil"/>
                <w:left w:val="nil"/>
                <w:bottom w:val="nil"/>
                <w:right w:val="nil"/>
                <w:between w:val="nil"/>
              </w:pBdr>
              <w:rPr>
                <w:b/>
                <w:sz w:val="20"/>
                <w:szCs w:val="20"/>
              </w:rPr>
            </w:pPr>
            <w:r>
              <w:rPr>
                <w:b/>
                <w:sz w:val="20"/>
                <w:szCs w:val="20"/>
              </w:rPr>
              <w:t>Supportive - Developing</w:t>
            </w:r>
          </w:p>
        </w:tc>
        <w:tc>
          <w:tcPr>
            <w:tcW w:w="3662" w:type="dxa"/>
            <w:shd w:val="clear" w:color="auto" w:fill="auto"/>
          </w:tcPr>
          <w:p w:rsidR="00484963" w:rsidRDefault="00556357" w14:paraId="4B80863B" w14:textId="77777777">
            <w:pPr>
              <w:pBdr>
                <w:top w:val="nil"/>
                <w:left w:val="nil"/>
                <w:bottom w:val="nil"/>
                <w:right w:val="nil"/>
                <w:between w:val="nil"/>
              </w:pBdr>
              <w:rPr>
                <w:b/>
                <w:sz w:val="20"/>
                <w:szCs w:val="20"/>
              </w:rPr>
            </w:pPr>
            <w:r>
              <w:rPr>
                <w:b/>
                <w:sz w:val="20"/>
                <w:szCs w:val="20"/>
              </w:rPr>
              <w:t>Transitional - Expanding</w:t>
            </w:r>
          </w:p>
        </w:tc>
      </w:tr>
      <w:tr w:rsidR="00484963" w14:paraId="3D47310A" w14:textId="77777777">
        <w:trPr>
          <w:trHeight w:val="880"/>
        </w:trPr>
        <w:tc>
          <w:tcPr>
            <w:tcW w:w="3647" w:type="dxa"/>
            <w:tcBorders>
              <w:top w:val="single" w:color="000000" w:sz="4" w:space="0"/>
              <w:left w:val="single" w:color="000000" w:sz="4" w:space="0"/>
              <w:right w:val="single" w:color="000000" w:sz="4" w:space="0"/>
            </w:tcBorders>
          </w:tcPr>
          <w:p w:rsidR="00484963" w:rsidRDefault="00484963" w14:paraId="516E9712" w14:textId="77777777">
            <w:pPr>
              <w:ind w:left="360"/>
              <w:rPr>
                <w:color w:val="000000"/>
                <w:sz w:val="20"/>
                <w:szCs w:val="20"/>
              </w:rPr>
            </w:pPr>
          </w:p>
          <w:p w:rsidR="00484963" w:rsidRDefault="00484963" w14:paraId="1AA67BFC" w14:textId="77777777">
            <w:pPr>
              <w:pBdr>
                <w:top w:val="nil"/>
                <w:left w:val="nil"/>
                <w:bottom w:val="nil"/>
                <w:right w:val="nil"/>
                <w:between w:val="nil"/>
              </w:pBdr>
              <w:ind w:left="720"/>
              <w:rPr>
                <w:color w:val="000000"/>
              </w:rPr>
            </w:pPr>
          </w:p>
          <w:p w:rsidR="00484963" w:rsidRDefault="00484963" w14:paraId="7FEF4258" w14:textId="77777777">
            <w:pPr>
              <w:ind w:left="360"/>
              <w:rPr>
                <w:sz w:val="20"/>
                <w:szCs w:val="20"/>
              </w:rPr>
            </w:pPr>
          </w:p>
          <w:p w:rsidR="00484963" w:rsidRDefault="00484963" w14:paraId="18D114F8" w14:textId="77777777">
            <w:pPr>
              <w:ind w:left="360"/>
              <w:rPr>
                <w:sz w:val="20"/>
                <w:szCs w:val="20"/>
              </w:rPr>
            </w:pPr>
          </w:p>
          <w:p w:rsidR="00484963" w:rsidRDefault="00484963" w14:paraId="281E3042" w14:textId="77777777">
            <w:pPr>
              <w:ind w:left="360"/>
              <w:rPr>
                <w:sz w:val="20"/>
                <w:szCs w:val="20"/>
              </w:rPr>
            </w:pPr>
          </w:p>
          <w:p w:rsidR="00484963" w:rsidRDefault="00484963" w14:paraId="292E165D" w14:textId="77777777">
            <w:pPr>
              <w:ind w:left="360"/>
              <w:rPr>
                <w:sz w:val="20"/>
                <w:szCs w:val="20"/>
              </w:rPr>
            </w:pPr>
          </w:p>
          <w:p w:rsidR="00484963" w:rsidRDefault="00484963" w14:paraId="681CC513" w14:textId="77777777">
            <w:pPr>
              <w:ind w:left="360"/>
              <w:rPr>
                <w:sz w:val="20"/>
                <w:szCs w:val="20"/>
              </w:rPr>
            </w:pPr>
          </w:p>
          <w:p w:rsidR="00484963" w:rsidRDefault="00484963" w14:paraId="32C15B32" w14:textId="77777777">
            <w:pPr>
              <w:ind w:left="360"/>
              <w:rPr>
                <w:sz w:val="20"/>
                <w:szCs w:val="20"/>
              </w:rPr>
            </w:pPr>
          </w:p>
          <w:p w:rsidR="00484963" w:rsidRDefault="00484963" w14:paraId="3ED45937" w14:textId="77777777">
            <w:pPr>
              <w:ind w:left="360"/>
              <w:rPr>
                <w:sz w:val="20"/>
                <w:szCs w:val="20"/>
              </w:rPr>
            </w:pPr>
          </w:p>
        </w:tc>
        <w:tc>
          <w:tcPr>
            <w:tcW w:w="3647" w:type="dxa"/>
            <w:tcBorders>
              <w:top w:val="single" w:color="000000" w:sz="4" w:space="0"/>
              <w:left w:val="single" w:color="000000" w:sz="4" w:space="0"/>
              <w:right w:val="single" w:color="000000" w:sz="4" w:space="0"/>
            </w:tcBorders>
          </w:tcPr>
          <w:p w:rsidR="00484963" w:rsidRDefault="00484963" w14:paraId="736F7AD4" w14:textId="77777777">
            <w:pPr>
              <w:ind w:left="360"/>
              <w:rPr>
                <w:color w:val="000000"/>
                <w:sz w:val="20"/>
                <w:szCs w:val="20"/>
              </w:rPr>
            </w:pPr>
          </w:p>
        </w:tc>
        <w:tc>
          <w:tcPr>
            <w:tcW w:w="3662" w:type="dxa"/>
            <w:tcBorders>
              <w:top w:val="single" w:color="000000" w:sz="4" w:space="0"/>
              <w:left w:val="single" w:color="000000" w:sz="4" w:space="0"/>
              <w:right w:val="single" w:color="000000" w:sz="4" w:space="0"/>
            </w:tcBorders>
          </w:tcPr>
          <w:p w:rsidR="00484963" w:rsidRDefault="00484963" w14:paraId="16C80DC8" w14:textId="77777777">
            <w:pPr>
              <w:ind w:left="360"/>
              <w:rPr>
                <w:color w:val="000000"/>
                <w:sz w:val="20"/>
                <w:szCs w:val="20"/>
              </w:rPr>
            </w:pPr>
          </w:p>
          <w:p w:rsidR="00484963" w:rsidRDefault="00484963" w14:paraId="13C56163" w14:textId="77777777">
            <w:pPr>
              <w:pBdr>
                <w:top w:val="nil"/>
                <w:left w:val="nil"/>
                <w:bottom w:val="nil"/>
                <w:right w:val="nil"/>
                <w:between w:val="nil"/>
              </w:pBdr>
              <w:ind w:left="720"/>
            </w:pPr>
          </w:p>
          <w:p w:rsidR="00484963" w:rsidRDefault="00484963" w14:paraId="1635E17E" w14:textId="77777777">
            <w:pPr>
              <w:pBdr>
                <w:top w:val="nil"/>
                <w:left w:val="nil"/>
                <w:bottom w:val="nil"/>
                <w:right w:val="nil"/>
                <w:between w:val="nil"/>
              </w:pBdr>
              <w:ind w:left="720"/>
            </w:pPr>
          </w:p>
          <w:p w:rsidR="00484963" w:rsidRDefault="00484963" w14:paraId="2C18600A" w14:textId="77777777">
            <w:pPr>
              <w:pBdr>
                <w:top w:val="nil"/>
                <w:left w:val="nil"/>
                <w:bottom w:val="nil"/>
                <w:right w:val="nil"/>
                <w:between w:val="nil"/>
              </w:pBdr>
              <w:ind w:left="720"/>
            </w:pPr>
          </w:p>
          <w:p w:rsidR="00484963" w:rsidRDefault="00484963" w14:paraId="3E291B20" w14:textId="77777777">
            <w:pPr>
              <w:pBdr>
                <w:top w:val="nil"/>
                <w:left w:val="nil"/>
                <w:bottom w:val="nil"/>
                <w:right w:val="nil"/>
                <w:between w:val="nil"/>
              </w:pBdr>
              <w:ind w:left="720"/>
            </w:pPr>
          </w:p>
          <w:p w:rsidR="00484963" w:rsidRDefault="00484963" w14:paraId="4A027D01" w14:textId="77777777">
            <w:pPr>
              <w:pBdr>
                <w:top w:val="nil"/>
                <w:left w:val="nil"/>
                <w:bottom w:val="nil"/>
                <w:right w:val="nil"/>
                <w:between w:val="nil"/>
              </w:pBdr>
              <w:ind w:left="720"/>
            </w:pPr>
          </w:p>
          <w:p w:rsidR="00484963" w:rsidRDefault="00484963" w14:paraId="5C827C28" w14:textId="77777777">
            <w:pPr>
              <w:pBdr>
                <w:top w:val="nil"/>
                <w:left w:val="nil"/>
                <w:bottom w:val="nil"/>
                <w:right w:val="nil"/>
                <w:between w:val="nil"/>
              </w:pBdr>
              <w:ind w:left="720"/>
            </w:pPr>
          </w:p>
          <w:p w:rsidR="00484963" w:rsidRDefault="00484963" w14:paraId="14E200D9" w14:textId="77777777">
            <w:pPr>
              <w:pBdr>
                <w:top w:val="nil"/>
                <w:left w:val="nil"/>
                <w:bottom w:val="nil"/>
                <w:right w:val="nil"/>
                <w:between w:val="nil"/>
              </w:pBdr>
              <w:ind w:left="720"/>
            </w:pPr>
          </w:p>
        </w:tc>
      </w:tr>
      <w:tr w:rsidR="00484963" w14:paraId="4C94F682" w14:textId="77777777">
        <w:tc>
          <w:tcPr>
            <w:tcW w:w="10956" w:type="dxa"/>
            <w:gridSpan w:val="3"/>
            <w:shd w:val="clear" w:color="auto" w:fill="EEECE1"/>
          </w:tcPr>
          <w:p w:rsidR="00484963" w:rsidRDefault="00556357" w14:paraId="6F312CEA" w14:textId="77777777">
            <w:pPr>
              <w:rPr>
                <w:color w:val="000000"/>
              </w:rPr>
            </w:pPr>
            <w:r>
              <w:rPr>
                <w:b/>
                <w:color w:val="000000"/>
                <w:vertAlign w:val="superscript"/>
              </w:rPr>
              <w:t>3</w:t>
            </w:r>
            <w:r>
              <w:rPr>
                <w:b/>
                <w:color w:val="000000"/>
              </w:rPr>
              <w:t xml:space="preserve"> Menu of Services </w:t>
            </w:r>
            <w:r>
              <w:rPr>
                <w:color w:val="000000"/>
              </w:rPr>
              <w:t xml:space="preserve">(include frequency </w:t>
            </w:r>
            <w:r>
              <w:rPr>
                <w:b/>
                <w:color w:val="000000"/>
              </w:rPr>
              <w:t>and</w:t>
            </w:r>
            <w:r>
              <w:rPr>
                <w:color w:val="000000"/>
              </w:rPr>
              <w:t xml:space="preserve"> </w:t>
            </w:r>
            <w:r>
              <w:t>length</w:t>
            </w:r>
            <w:r>
              <w:rPr>
                <w:color w:val="000000"/>
              </w:rPr>
              <w:t xml:space="preserve"> of time of services provided: </w:t>
            </w:r>
            <w:proofErr w:type="spellStart"/>
            <w:r>
              <w:rPr>
                <w:color w:val="000000"/>
              </w:rPr>
              <w:t>i.e</w:t>
            </w:r>
            <w:proofErr w:type="spellEnd"/>
            <w:r>
              <w:rPr>
                <w:color w:val="000000"/>
              </w:rPr>
              <w:t xml:space="preserve"> daily, 2x, 3x, 4x week, </w:t>
            </w:r>
            <w:r>
              <w:t>and 30, 45, 60 or 90 minutes, also provide this information for applicable grade levels, i.e. elementary, middle, high, K-8, 6-12 etc..</w:t>
            </w:r>
            <w:r>
              <w:rPr>
                <w:color w:val="000000"/>
              </w:rPr>
              <w:t>)</w:t>
            </w:r>
          </w:p>
        </w:tc>
      </w:tr>
      <w:tr w:rsidR="00484963" w14:paraId="17B5E8FB" w14:textId="77777777">
        <w:tc>
          <w:tcPr>
            <w:tcW w:w="3647" w:type="dxa"/>
            <w:shd w:val="clear" w:color="auto" w:fill="auto"/>
          </w:tcPr>
          <w:p w:rsidR="00484963" w:rsidRDefault="00556357" w14:paraId="09C1A97A" w14:textId="77777777">
            <w:pPr>
              <w:rPr>
                <w:b/>
                <w:sz w:val="20"/>
                <w:szCs w:val="20"/>
              </w:rPr>
            </w:pPr>
            <w:r>
              <w:rPr>
                <w:b/>
                <w:sz w:val="20"/>
                <w:szCs w:val="20"/>
              </w:rPr>
              <w:t>Comprehensive Language Services</w:t>
            </w:r>
          </w:p>
        </w:tc>
        <w:tc>
          <w:tcPr>
            <w:tcW w:w="3647" w:type="dxa"/>
            <w:shd w:val="clear" w:color="auto" w:fill="auto"/>
          </w:tcPr>
          <w:p w:rsidR="00484963" w:rsidRDefault="00556357" w14:paraId="658F7566" w14:textId="77777777">
            <w:pPr>
              <w:rPr>
                <w:b/>
                <w:sz w:val="20"/>
                <w:szCs w:val="20"/>
              </w:rPr>
            </w:pPr>
            <w:r>
              <w:rPr>
                <w:b/>
                <w:sz w:val="20"/>
                <w:szCs w:val="20"/>
              </w:rPr>
              <w:t>Supportive Language Services</w:t>
            </w:r>
          </w:p>
        </w:tc>
        <w:tc>
          <w:tcPr>
            <w:tcW w:w="3662" w:type="dxa"/>
            <w:shd w:val="clear" w:color="auto" w:fill="auto"/>
          </w:tcPr>
          <w:p w:rsidR="00484963" w:rsidRDefault="00556357" w14:paraId="4B97C037" w14:textId="77777777">
            <w:pPr>
              <w:rPr>
                <w:b/>
                <w:sz w:val="20"/>
                <w:szCs w:val="20"/>
              </w:rPr>
            </w:pPr>
            <w:r>
              <w:rPr>
                <w:b/>
                <w:sz w:val="20"/>
                <w:szCs w:val="20"/>
              </w:rPr>
              <w:t>Transitional Language Services</w:t>
            </w:r>
          </w:p>
        </w:tc>
      </w:tr>
      <w:tr w:rsidR="00484963" w14:paraId="47B8BDAA" w14:textId="77777777">
        <w:trPr>
          <w:trHeight w:val="220"/>
        </w:trPr>
        <w:tc>
          <w:tcPr>
            <w:tcW w:w="3647" w:type="dxa"/>
          </w:tcPr>
          <w:p w:rsidR="00484963" w:rsidRDefault="00484963" w14:paraId="38B7A759" w14:textId="77777777">
            <w:pPr>
              <w:pBdr>
                <w:top w:val="nil"/>
                <w:left w:val="nil"/>
                <w:bottom w:val="nil"/>
                <w:right w:val="nil"/>
                <w:between w:val="nil"/>
              </w:pBdr>
            </w:pPr>
          </w:p>
          <w:p w:rsidR="00484963" w:rsidRDefault="00484963" w14:paraId="789BC3B7" w14:textId="77777777">
            <w:pPr>
              <w:pBdr>
                <w:top w:val="nil"/>
                <w:left w:val="nil"/>
                <w:bottom w:val="nil"/>
                <w:right w:val="nil"/>
                <w:between w:val="nil"/>
              </w:pBdr>
            </w:pPr>
          </w:p>
          <w:p w:rsidR="00484963" w:rsidRDefault="00484963" w14:paraId="0AB04124" w14:textId="77777777">
            <w:pPr>
              <w:pBdr>
                <w:top w:val="nil"/>
                <w:left w:val="nil"/>
                <w:bottom w:val="nil"/>
                <w:right w:val="nil"/>
                <w:between w:val="nil"/>
              </w:pBdr>
            </w:pPr>
          </w:p>
          <w:p w:rsidR="00484963" w:rsidRDefault="00484963" w14:paraId="26BFA6B8" w14:textId="77777777">
            <w:pPr>
              <w:pBdr>
                <w:top w:val="nil"/>
                <w:left w:val="nil"/>
                <w:bottom w:val="nil"/>
                <w:right w:val="nil"/>
                <w:between w:val="nil"/>
              </w:pBdr>
            </w:pPr>
          </w:p>
          <w:p w:rsidR="00484963" w:rsidRDefault="00484963" w14:paraId="216BB3DE" w14:textId="77777777">
            <w:pPr>
              <w:pBdr>
                <w:top w:val="nil"/>
                <w:left w:val="nil"/>
                <w:bottom w:val="nil"/>
                <w:right w:val="nil"/>
                <w:between w:val="nil"/>
              </w:pBdr>
            </w:pPr>
          </w:p>
          <w:p w:rsidR="00484963" w:rsidRDefault="00484963" w14:paraId="3BE00904" w14:textId="77777777">
            <w:pPr>
              <w:pBdr>
                <w:top w:val="nil"/>
                <w:left w:val="nil"/>
                <w:bottom w:val="nil"/>
                <w:right w:val="nil"/>
                <w:between w:val="nil"/>
              </w:pBdr>
            </w:pPr>
          </w:p>
          <w:p w:rsidR="00484963" w:rsidRDefault="00484963" w14:paraId="1CC6AF3A" w14:textId="77777777">
            <w:pPr>
              <w:pBdr>
                <w:top w:val="nil"/>
                <w:left w:val="nil"/>
                <w:bottom w:val="nil"/>
                <w:right w:val="nil"/>
                <w:between w:val="nil"/>
              </w:pBdr>
            </w:pPr>
          </w:p>
          <w:p w:rsidR="00484963" w:rsidRDefault="00484963" w14:paraId="0D3D1692" w14:textId="77777777">
            <w:pPr>
              <w:pBdr>
                <w:top w:val="nil"/>
                <w:left w:val="nil"/>
                <w:bottom w:val="nil"/>
                <w:right w:val="nil"/>
                <w:between w:val="nil"/>
              </w:pBdr>
            </w:pPr>
          </w:p>
          <w:p w:rsidR="00484963" w:rsidRDefault="00484963" w14:paraId="7B9791FD" w14:textId="77777777">
            <w:pPr>
              <w:pBdr>
                <w:top w:val="nil"/>
                <w:left w:val="nil"/>
                <w:bottom w:val="nil"/>
                <w:right w:val="nil"/>
                <w:between w:val="nil"/>
              </w:pBdr>
            </w:pPr>
          </w:p>
          <w:p w:rsidR="00484963" w:rsidRDefault="00484963" w14:paraId="00C88489" w14:textId="77777777">
            <w:pPr>
              <w:pBdr>
                <w:top w:val="nil"/>
                <w:left w:val="nil"/>
                <w:bottom w:val="nil"/>
                <w:right w:val="nil"/>
                <w:between w:val="nil"/>
              </w:pBdr>
            </w:pPr>
          </w:p>
          <w:p w:rsidR="00484963" w:rsidRDefault="00484963" w14:paraId="2791255B" w14:textId="77777777">
            <w:pPr>
              <w:pBdr>
                <w:top w:val="nil"/>
                <w:left w:val="nil"/>
                <w:bottom w:val="nil"/>
                <w:right w:val="nil"/>
                <w:between w:val="nil"/>
              </w:pBdr>
            </w:pPr>
          </w:p>
        </w:tc>
        <w:tc>
          <w:tcPr>
            <w:tcW w:w="3647" w:type="dxa"/>
          </w:tcPr>
          <w:p w:rsidR="00484963" w:rsidRDefault="00484963" w14:paraId="0652E6A2" w14:textId="77777777">
            <w:pPr>
              <w:pBdr>
                <w:top w:val="nil"/>
                <w:left w:val="nil"/>
                <w:bottom w:val="nil"/>
                <w:right w:val="nil"/>
                <w:between w:val="nil"/>
              </w:pBdr>
            </w:pPr>
          </w:p>
        </w:tc>
        <w:tc>
          <w:tcPr>
            <w:tcW w:w="3662" w:type="dxa"/>
          </w:tcPr>
          <w:p w:rsidR="00484963" w:rsidRDefault="00484963" w14:paraId="35669A46" w14:textId="77777777">
            <w:pPr>
              <w:ind w:left="360"/>
              <w:rPr>
                <w:color w:val="000000"/>
                <w:sz w:val="20"/>
                <w:szCs w:val="20"/>
              </w:rPr>
            </w:pPr>
          </w:p>
          <w:p w:rsidR="00484963" w:rsidRDefault="00484963" w14:paraId="3C394137" w14:textId="77777777">
            <w:pPr>
              <w:pBdr>
                <w:top w:val="nil"/>
                <w:left w:val="nil"/>
                <w:bottom w:val="nil"/>
                <w:right w:val="nil"/>
                <w:between w:val="nil"/>
              </w:pBdr>
              <w:ind w:left="720"/>
            </w:pPr>
          </w:p>
          <w:p w:rsidR="00484963" w:rsidRDefault="00484963" w14:paraId="7B87AB9A" w14:textId="77777777">
            <w:pPr>
              <w:pBdr>
                <w:top w:val="nil"/>
                <w:left w:val="nil"/>
                <w:bottom w:val="nil"/>
                <w:right w:val="nil"/>
                <w:between w:val="nil"/>
              </w:pBdr>
              <w:ind w:left="720"/>
            </w:pPr>
          </w:p>
          <w:p w:rsidR="00484963" w:rsidRDefault="00484963" w14:paraId="1ECF1DDF" w14:textId="77777777">
            <w:pPr>
              <w:pBdr>
                <w:top w:val="nil"/>
                <w:left w:val="nil"/>
                <w:bottom w:val="nil"/>
                <w:right w:val="nil"/>
                <w:between w:val="nil"/>
              </w:pBdr>
              <w:ind w:left="720"/>
            </w:pPr>
          </w:p>
          <w:p w:rsidR="00484963" w:rsidRDefault="00484963" w14:paraId="0AB9AF49" w14:textId="77777777">
            <w:pPr>
              <w:pBdr>
                <w:top w:val="nil"/>
                <w:left w:val="nil"/>
                <w:bottom w:val="nil"/>
                <w:right w:val="nil"/>
                <w:between w:val="nil"/>
              </w:pBdr>
              <w:ind w:left="720"/>
            </w:pPr>
          </w:p>
          <w:p w:rsidR="00484963" w:rsidRDefault="00484963" w14:paraId="10862AA3" w14:textId="77777777">
            <w:pPr>
              <w:pBdr>
                <w:top w:val="nil"/>
                <w:left w:val="nil"/>
                <w:bottom w:val="nil"/>
                <w:right w:val="nil"/>
                <w:between w:val="nil"/>
              </w:pBdr>
              <w:ind w:left="720"/>
            </w:pPr>
          </w:p>
          <w:p w:rsidR="00484963" w:rsidRDefault="00484963" w14:paraId="061E5BA7" w14:textId="77777777">
            <w:pPr>
              <w:pBdr>
                <w:top w:val="nil"/>
                <w:left w:val="nil"/>
                <w:bottom w:val="nil"/>
                <w:right w:val="nil"/>
                <w:between w:val="nil"/>
              </w:pBdr>
              <w:ind w:left="720"/>
            </w:pPr>
          </w:p>
          <w:p w:rsidR="00484963" w:rsidRDefault="00484963" w14:paraId="55AEBE21" w14:textId="77777777">
            <w:pPr>
              <w:pBdr>
                <w:top w:val="nil"/>
                <w:left w:val="nil"/>
                <w:bottom w:val="nil"/>
                <w:right w:val="nil"/>
                <w:between w:val="nil"/>
              </w:pBdr>
              <w:ind w:left="720"/>
            </w:pPr>
          </w:p>
          <w:p w:rsidR="00484963" w:rsidRDefault="00484963" w14:paraId="2BC0D520" w14:textId="77777777">
            <w:pPr>
              <w:pBdr>
                <w:top w:val="nil"/>
                <w:left w:val="nil"/>
                <w:bottom w:val="nil"/>
                <w:right w:val="nil"/>
                <w:between w:val="nil"/>
              </w:pBdr>
              <w:ind w:left="720"/>
            </w:pPr>
          </w:p>
          <w:p w:rsidR="00484963" w:rsidRDefault="00484963" w14:paraId="1FBCFE00" w14:textId="77777777">
            <w:pPr>
              <w:pBdr>
                <w:top w:val="nil"/>
                <w:left w:val="nil"/>
                <w:bottom w:val="nil"/>
                <w:right w:val="nil"/>
                <w:between w:val="nil"/>
              </w:pBdr>
              <w:ind w:left="720"/>
            </w:pPr>
          </w:p>
          <w:p w:rsidR="00484963" w:rsidRDefault="00484963" w14:paraId="30690384" w14:textId="77777777">
            <w:pPr>
              <w:pBdr>
                <w:top w:val="nil"/>
                <w:left w:val="nil"/>
                <w:bottom w:val="nil"/>
                <w:right w:val="nil"/>
                <w:between w:val="nil"/>
              </w:pBdr>
              <w:ind w:left="720"/>
            </w:pPr>
          </w:p>
        </w:tc>
      </w:tr>
    </w:tbl>
    <w:p w:rsidR="00484963" w:rsidRDefault="00556357" w14:paraId="1550ED04" w14:textId="77777777">
      <w:pPr>
        <w:pBdr>
          <w:top w:val="single" w:color="000000" w:sz="4" w:space="1"/>
          <w:left w:val="single" w:color="000000" w:sz="4" w:space="4"/>
          <w:bottom w:val="single" w:color="000000" w:sz="4" w:space="0"/>
          <w:right w:val="single" w:color="000000" w:sz="4" w:space="1"/>
        </w:pBdr>
        <w:ind w:left="90" w:right="108"/>
        <w:rPr>
          <w:color w:val="000000"/>
          <w:sz w:val="16"/>
          <w:szCs w:val="16"/>
        </w:rPr>
      </w:pPr>
      <w:r>
        <w:rPr>
          <w:color w:val="000000"/>
          <w:sz w:val="16"/>
          <w:szCs w:val="16"/>
        </w:rPr>
        <w:t xml:space="preserve">The U.S. Department of Education’s (ED) Student Achievement and School Accountability Programs (SASA) office, Title III State Consolidated Grant Group monitored the North Carolina Department of Public Instruction (NCDPI) the week of October 24-27, 2011. This was a comprehensive review of NCDPI’s administration of Title III, Part A, authorized by the Elementary and Secondary Education Act of 1965 (ESEA), as amended.  As a result of this monitoring visit, NCDPI is collecting each </w:t>
      </w:r>
      <w:r>
        <w:rPr>
          <w:sz w:val="16"/>
          <w:szCs w:val="16"/>
        </w:rPr>
        <w:t>PSU</w:t>
      </w:r>
      <w:r>
        <w:rPr>
          <w:color w:val="000000"/>
          <w:sz w:val="16"/>
          <w:szCs w:val="16"/>
        </w:rPr>
        <w:t xml:space="preserve">’s Language Instruction Educational Program (LIEP) information.  </w:t>
      </w:r>
    </w:p>
    <w:p w:rsidR="00484963" w:rsidRDefault="00556357" w14:paraId="5CA16627" w14:textId="77777777">
      <w:pPr>
        <w:rPr>
          <w:color w:val="000000"/>
          <w:sz w:val="20"/>
          <w:szCs w:val="20"/>
        </w:rPr>
      </w:pPr>
      <w:r>
        <w:rPr>
          <w:color w:val="000000"/>
          <w:sz w:val="20"/>
          <w:szCs w:val="20"/>
        </w:rPr>
        <w:t xml:space="preserve">*Title III PRC 104 Subgrantees will upload the LIEP to the NCCCIP as part of the Title III PRC 104 Application under </w:t>
      </w:r>
      <w:r>
        <w:rPr>
          <w:sz w:val="20"/>
          <w:szCs w:val="20"/>
        </w:rPr>
        <w:t>‘Related</w:t>
      </w:r>
      <w:r>
        <w:rPr>
          <w:color w:val="000000"/>
          <w:sz w:val="20"/>
          <w:szCs w:val="20"/>
        </w:rPr>
        <w:t xml:space="preserve"> Documents</w:t>
      </w:r>
      <w:r>
        <w:rPr>
          <w:sz w:val="20"/>
          <w:szCs w:val="20"/>
        </w:rPr>
        <w:t>’;</w:t>
      </w:r>
      <w:r>
        <w:rPr>
          <w:color w:val="000000"/>
          <w:sz w:val="20"/>
          <w:szCs w:val="20"/>
        </w:rPr>
        <w:t xml:space="preserve"> </w:t>
      </w:r>
      <w:r>
        <w:rPr>
          <w:sz w:val="20"/>
          <w:szCs w:val="20"/>
        </w:rPr>
        <w:t>c</w:t>
      </w:r>
      <w:r>
        <w:rPr>
          <w:color w:val="000000"/>
          <w:sz w:val="20"/>
          <w:szCs w:val="20"/>
        </w:rPr>
        <w:t xml:space="preserve">onsortium </w:t>
      </w:r>
      <w:r>
        <w:rPr>
          <w:sz w:val="20"/>
          <w:szCs w:val="20"/>
        </w:rPr>
        <w:t>F</w:t>
      </w:r>
      <w:r>
        <w:rPr>
          <w:color w:val="000000"/>
          <w:sz w:val="20"/>
          <w:szCs w:val="20"/>
        </w:rPr>
        <w:t xml:space="preserve">iscal </w:t>
      </w:r>
      <w:r>
        <w:rPr>
          <w:sz w:val="20"/>
          <w:szCs w:val="20"/>
        </w:rPr>
        <w:t>A</w:t>
      </w:r>
      <w:r>
        <w:rPr>
          <w:color w:val="000000"/>
          <w:sz w:val="20"/>
          <w:szCs w:val="20"/>
        </w:rPr>
        <w:t xml:space="preserve">gents </w:t>
      </w:r>
      <w:r>
        <w:rPr>
          <w:sz w:val="20"/>
          <w:szCs w:val="20"/>
        </w:rPr>
        <w:t>will</w:t>
      </w:r>
      <w:r>
        <w:rPr>
          <w:color w:val="000000"/>
          <w:sz w:val="20"/>
          <w:szCs w:val="20"/>
        </w:rPr>
        <w:t xml:space="preserve"> upload each member</w:t>
      </w:r>
      <w:r>
        <w:rPr>
          <w:sz w:val="20"/>
          <w:szCs w:val="20"/>
        </w:rPr>
        <w:t>’s LIEP</w:t>
      </w:r>
      <w:r>
        <w:rPr>
          <w:color w:val="000000"/>
          <w:sz w:val="20"/>
          <w:szCs w:val="20"/>
        </w:rPr>
        <w:t xml:space="preserve">.  Non-Title III Subgrantees will submit </w:t>
      </w:r>
      <w:r>
        <w:rPr>
          <w:sz w:val="20"/>
          <w:szCs w:val="20"/>
        </w:rPr>
        <w:t xml:space="preserve">based on </w:t>
      </w:r>
      <w:r>
        <w:rPr>
          <w:color w:val="000000"/>
          <w:sz w:val="20"/>
          <w:szCs w:val="20"/>
        </w:rPr>
        <w:t xml:space="preserve">instructions that can be found on the </w:t>
      </w:r>
      <w:hyperlink r:id="rId10">
        <w:r>
          <w:rPr>
            <w:color w:val="1155CC"/>
            <w:sz w:val="20"/>
            <w:szCs w:val="20"/>
            <w:u w:val="single"/>
          </w:rPr>
          <w:t>EL Program Compliance</w:t>
        </w:r>
      </w:hyperlink>
      <w:r>
        <w:rPr>
          <w:color w:val="000000"/>
          <w:sz w:val="20"/>
          <w:szCs w:val="20"/>
        </w:rPr>
        <w:t xml:space="preserve"> page. </w:t>
      </w:r>
    </w:p>
    <w:p w:rsidR="00484963" w:rsidRDefault="00484963" w14:paraId="36D8CCBF" w14:textId="77777777">
      <w:pPr>
        <w:rPr>
          <w:sz w:val="20"/>
          <w:szCs w:val="20"/>
        </w:rPr>
      </w:pPr>
    </w:p>
    <w:p w:rsidR="00484963" w:rsidRDefault="00484963" w14:paraId="3633886A" w14:textId="77777777">
      <w:pPr>
        <w:rPr>
          <w:b/>
          <w:sz w:val="20"/>
          <w:szCs w:val="20"/>
        </w:rPr>
      </w:pPr>
    </w:p>
    <w:p w:rsidR="00484963" w:rsidRDefault="00556357" w14:paraId="720519DB" w14:textId="77777777">
      <w:pPr>
        <w:pStyle w:val="Heading3"/>
        <w:jc w:val="center"/>
      </w:pPr>
      <w:bookmarkStart w:name="_heading=h.ndetfz1mjzwo" w:colFirst="0" w:colLast="0" w:id="1"/>
      <w:bookmarkEnd w:id="1"/>
      <w:r>
        <w:t>II. Title III (PRC 104) Supplemental</w:t>
      </w:r>
    </w:p>
    <w:p w:rsidR="00484963" w:rsidRDefault="00556357" w14:paraId="48BDCE1C" w14:textId="77777777">
      <w:pPr>
        <w:ind w:firstLine="720"/>
        <w:rPr>
          <w:sz w:val="20"/>
          <w:szCs w:val="20"/>
        </w:rPr>
      </w:pPr>
      <w:r>
        <w:rPr>
          <w:b/>
          <w:sz w:val="22"/>
          <w:szCs w:val="22"/>
        </w:rPr>
        <w:t>ESSA: Title III: Programs and Activities (SEC. 3115(c)(1)(A) &amp; (B) and SEC. 3116(b)(1))</w:t>
      </w:r>
      <w:r>
        <w:rPr>
          <w:b/>
          <w:sz w:val="20"/>
          <w:szCs w:val="20"/>
        </w:rPr>
        <w:br/>
      </w:r>
    </w:p>
    <w:p w:rsidR="00484963" w:rsidRDefault="00556357" w14:paraId="3498E336" w14:textId="77777777">
      <w:pPr>
        <w:rPr>
          <w:i/>
          <w:sz w:val="18"/>
          <w:szCs w:val="18"/>
        </w:rPr>
      </w:pPr>
      <w:r>
        <w:rPr>
          <w:i/>
        </w:rPr>
        <w:t xml:space="preserve">(How will you use your Title III PRC 104 funds to </w:t>
      </w:r>
      <w:r>
        <w:rPr>
          <w:b/>
          <w:i/>
        </w:rPr>
        <w:t>supplement</w:t>
      </w:r>
      <w:r>
        <w:rPr>
          <w:i/>
        </w:rPr>
        <w:t xml:space="preserve"> your BASIC program LIEP, in section I above?)</w:t>
      </w:r>
    </w:p>
    <w:tbl>
      <w:tblPr>
        <w:tblStyle w:val="a5"/>
        <w:tblW w:w="10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85"/>
      </w:tblGrid>
      <w:tr w:rsidR="00484963" w14:paraId="33031BAF" w14:textId="77777777">
        <w:trPr>
          <w:trHeight w:val="818"/>
        </w:trPr>
        <w:tc>
          <w:tcPr>
            <w:tcW w:w="10885" w:type="dxa"/>
          </w:tcPr>
          <w:p w:rsidR="00484963" w:rsidRDefault="00484963" w14:paraId="68515CB1" w14:textId="77777777">
            <w:pPr>
              <w:spacing w:before="360" w:after="360"/>
              <w:rPr>
                <w:rFonts w:ascii="Calibri" w:hAnsi="Calibri" w:eastAsia="Calibri" w:cs="Calibri"/>
                <w:sz w:val="18"/>
                <w:szCs w:val="18"/>
              </w:rPr>
            </w:pPr>
          </w:p>
          <w:p w:rsidR="00484963" w:rsidRDefault="00484963" w14:paraId="145DD67C" w14:textId="77777777">
            <w:pPr>
              <w:rPr>
                <w:sz w:val="18"/>
                <w:szCs w:val="18"/>
              </w:rPr>
            </w:pPr>
          </w:p>
          <w:p w:rsidR="00484963" w:rsidRDefault="00484963" w14:paraId="6EFA00E7" w14:textId="77777777">
            <w:pPr>
              <w:rPr>
                <w:sz w:val="18"/>
                <w:szCs w:val="18"/>
              </w:rPr>
            </w:pPr>
          </w:p>
          <w:p w:rsidR="00484963" w:rsidRDefault="00484963" w14:paraId="08017E0E" w14:textId="77777777">
            <w:pPr>
              <w:rPr>
                <w:sz w:val="18"/>
                <w:szCs w:val="18"/>
              </w:rPr>
            </w:pPr>
          </w:p>
          <w:p w:rsidR="00484963" w:rsidRDefault="00484963" w14:paraId="3C4D945C" w14:textId="77777777">
            <w:pPr>
              <w:rPr>
                <w:sz w:val="18"/>
                <w:szCs w:val="18"/>
              </w:rPr>
            </w:pPr>
          </w:p>
          <w:p w:rsidR="00484963" w:rsidRDefault="00484963" w14:paraId="07416CE2" w14:textId="77777777">
            <w:pPr>
              <w:rPr>
                <w:sz w:val="18"/>
                <w:szCs w:val="18"/>
              </w:rPr>
            </w:pPr>
          </w:p>
          <w:p w:rsidR="00484963" w:rsidRDefault="00484963" w14:paraId="73FADD4F" w14:textId="77777777">
            <w:pPr>
              <w:rPr>
                <w:sz w:val="18"/>
                <w:szCs w:val="18"/>
              </w:rPr>
            </w:pPr>
          </w:p>
          <w:p w:rsidR="00484963" w:rsidRDefault="00484963" w14:paraId="7A091D47" w14:textId="77777777">
            <w:pPr>
              <w:rPr>
                <w:sz w:val="18"/>
                <w:szCs w:val="18"/>
              </w:rPr>
            </w:pPr>
          </w:p>
          <w:p w:rsidR="00484963" w:rsidRDefault="00484963" w14:paraId="4AB5171E" w14:textId="77777777">
            <w:pPr>
              <w:rPr>
                <w:sz w:val="18"/>
                <w:szCs w:val="18"/>
              </w:rPr>
            </w:pPr>
          </w:p>
          <w:p w:rsidR="00484963" w:rsidRDefault="00484963" w14:paraId="2044AA26" w14:textId="77777777">
            <w:pPr>
              <w:rPr>
                <w:sz w:val="18"/>
                <w:szCs w:val="18"/>
              </w:rPr>
            </w:pPr>
          </w:p>
          <w:p w:rsidR="00484963" w:rsidRDefault="00484963" w14:paraId="05403BE4" w14:textId="77777777">
            <w:pPr>
              <w:rPr>
                <w:sz w:val="18"/>
                <w:szCs w:val="18"/>
              </w:rPr>
            </w:pPr>
          </w:p>
          <w:p w:rsidR="00484963" w:rsidRDefault="00484963" w14:paraId="0C464344" w14:textId="77777777">
            <w:pPr>
              <w:rPr>
                <w:sz w:val="18"/>
                <w:szCs w:val="18"/>
              </w:rPr>
            </w:pPr>
          </w:p>
          <w:p w:rsidR="00484963" w:rsidRDefault="00484963" w14:paraId="7E8F4C55" w14:textId="77777777">
            <w:pPr>
              <w:rPr>
                <w:sz w:val="18"/>
                <w:szCs w:val="18"/>
              </w:rPr>
            </w:pPr>
          </w:p>
          <w:p w:rsidR="00484963" w:rsidRDefault="00484963" w14:paraId="5A7067C4" w14:textId="77777777">
            <w:pPr>
              <w:rPr>
                <w:sz w:val="18"/>
                <w:szCs w:val="18"/>
              </w:rPr>
            </w:pPr>
          </w:p>
          <w:p w:rsidR="00484963" w:rsidRDefault="00484963" w14:paraId="2549B308" w14:textId="77777777">
            <w:pPr>
              <w:rPr>
                <w:sz w:val="18"/>
                <w:szCs w:val="18"/>
              </w:rPr>
            </w:pPr>
          </w:p>
          <w:p w:rsidR="00484963" w:rsidRDefault="00484963" w14:paraId="1765F1CE" w14:textId="77777777">
            <w:pPr>
              <w:rPr>
                <w:sz w:val="18"/>
                <w:szCs w:val="18"/>
              </w:rPr>
            </w:pPr>
          </w:p>
          <w:p w:rsidR="00484963" w:rsidRDefault="00484963" w14:paraId="3CFA32A5" w14:textId="77777777">
            <w:pPr>
              <w:rPr>
                <w:sz w:val="18"/>
                <w:szCs w:val="18"/>
              </w:rPr>
            </w:pPr>
          </w:p>
          <w:p w:rsidR="00484963" w:rsidRDefault="00484963" w14:paraId="6575B05E" w14:textId="77777777">
            <w:pPr>
              <w:rPr>
                <w:sz w:val="18"/>
                <w:szCs w:val="18"/>
              </w:rPr>
            </w:pPr>
          </w:p>
          <w:p w:rsidR="00484963" w:rsidRDefault="00484963" w14:paraId="6EFBEA7A" w14:textId="77777777">
            <w:pPr>
              <w:rPr>
                <w:sz w:val="18"/>
                <w:szCs w:val="18"/>
              </w:rPr>
            </w:pPr>
          </w:p>
          <w:p w:rsidR="00484963" w:rsidRDefault="00484963" w14:paraId="515F2C7A" w14:textId="77777777">
            <w:pPr>
              <w:rPr>
                <w:sz w:val="18"/>
                <w:szCs w:val="18"/>
              </w:rPr>
            </w:pPr>
          </w:p>
          <w:p w:rsidR="00484963" w:rsidRDefault="00484963" w14:paraId="4B3A1C5C" w14:textId="77777777">
            <w:pPr>
              <w:rPr>
                <w:sz w:val="18"/>
                <w:szCs w:val="18"/>
              </w:rPr>
            </w:pPr>
          </w:p>
          <w:p w:rsidR="00484963" w:rsidRDefault="00484963" w14:paraId="0F5EDFAC" w14:textId="77777777">
            <w:pPr>
              <w:rPr>
                <w:sz w:val="18"/>
                <w:szCs w:val="18"/>
              </w:rPr>
            </w:pPr>
          </w:p>
          <w:p w:rsidR="00484963" w:rsidRDefault="00484963" w14:paraId="45B792B0" w14:textId="77777777">
            <w:pPr>
              <w:rPr>
                <w:sz w:val="18"/>
                <w:szCs w:val="18"/>
              </w:rPr>
            </w:pPr>
          </w:p>
          <w:p w:rsidR="00484963" w:rsidRDefault="00484963" w14:paraId="2E835589" w14:textId="77777777">
            <w:pPr>
              <w:rPr>
                <w:sz w:val="18"/>
                <w:szCs w:val="18"/>
              </w:rPr>
            </w:pPr>
          </w:p>
          <w:p w:rsidR="00484963" w:rsidRDefault="00484963" w14:paraId="7F753C50" w14:textId="77777777">
            <w:pPr>
              <w:rPr>
                <w:sz w:val="18"/>
                <w:szCs w:val="18"/>
              </w:rPr>
            </w:pPr>
          </w:p>
          <w:p w:rsidR="00484963" w:rsidRDefault="00484963" w14:paraId="4F97B735" w14:textId="77777777">
            <w:pPr>
              <w:rPr>
                <w:sz w:val="18"/>
                <w:szCs w:val="18"/>
              </w:rPr>
            </w:pPr>
          </w:p>
          <w:p w:rsidR="00484963" w:rsidRDefault="00484963" w14:paraId="0A5C46B2" w14:textId="77777777">
            <w:pPr>
              <w:rPr>
                <w:sz w:val="18"/>
                <w:szCs w:val="18"/>
              </w:rPr>
            </w:pPr>
          </w:p>
          <w:p w:rsidR="00484963" w:rsidRDefault="00484963" w14:paraId="1110D75C" w14:textId="77777777">
            <w:pPr>
              <w:rPr>
                <w:sz w:val="18"/>
                <w:szCs w:val="18"/>
              </w:rPr>
            </w:pPr>
          </w:p>
          <w:p w:rsidR="00484963" w:rsidRDefault="00484963" w14:paraId="4E229CD8" w14:textId="77777777">
            <w:pPr>
              <w:rPr>
                <w:sz w:val="18"/>
                <w:szCs w:val="18"/>
              </w:rPr>
            </w:pPr>
          </w:p>
          <w:p w:rsidR="00484963" w:rsidRDefault="00484963" w14:paraId="20E7DBB1" w14:textId="77777777">
            <w:pPr>
              <w:rPr>
                <w:sz w:val="18"/>
                <w:szCs w:val="18"/>
              </w:rPr>
            </w:pPr>
          </w:p>
          <w:p w:rsidR="00484963" w:rsidRDefault="00484963" w14:paraId="79E3EB3E" w14:textId="77777777">
            <w:pPr>
              <w:rPr>
                <w:sz w:val="18"/>
                <w:szCs w:val="18"/>
              </w:rPr>
            </w:pPr>
          </w:p>
          <w:p w:rsidR="00484963" w:rsidRDefault="00484963" w14:paraId="37C4907A" w14:textId="77777777">
            <w:pPr>
              <w:rPr>
                <w:sz w:val="18"/>
                <w:szCs w:val="18"/>
              </w:rPr>
            </w:pPr>
          </w:p>
          <w:p w:rsidR="00484963" w:rsidRDefault="00484963" w14:paraId="0AE761FA" w14:textId="77777777">
            <w:pPr>
              <w:rPr>
                <w:sz w:val="18"/>
                <w:szCs w:val="18"/>
              </w:rPr>
            </w:pPr>
          </w:p>
          <w:p w:rsidR="00484963" w:rsidRDefault="00484963" w14:paraId="69A67C80" w14:textId="77777777">
            <w:pPr>
              <w:rPr>
                <w:sz w:val="18"/>
                <w:szCs w:val="18"/>
              </w:rPr>
            </w:pPr>
          </w:p>
        </w:tc>
      </w:tr>
    </w:tbl>
    <w:p w:rsidR="00484963" w:rsidRDefault="00484963" w14:paraId="1949D29B" w14:textId="77777777">
      <w:pPr>
        <w:rPr>
          <w:sz w:val="20"/>
          <w:szCs w:val="20"/>
        </w:rPr>
      </w:pPr>
    </w:p>
    <w:sectPr w:rsidR="00484963">
      <w:headerReference w:type="default" r:id="rId11"/>
      <w:footerReference w:type="default" r:id="rId12"/>
      <w:pgSz w:w="12240" w:h="15840" w:orient="portrait"/>
      <w:pgMar w:top="720" w:right="576" w:bottom="720" w:left="72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6357" w:rsidRDefault="00556357" w14:paraId="52F7E415" w14:textId="77777777">
      <w:r>
        <w:separator/>
      </w:r>
    </w:p>
  </w:endnote>
  <w:endnote w:type="continuationSeparator" w:id="0">
    <w:p w:rsidR="00556357" w:rsidRDefault="00556357" w14:paraId="131A9B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4963" w:rsidRDefault="00556357" w14:paraId="7DA5D033" w14:textId="77777777">
    <w:pPr>
      <w:pBdr>
        <w:top w:val="nil"/>
        <w:left w:val="nil"/>
        <w:bottom w:val="nil"/>
        <w:right w:val="nil"/>
        <w:between w:val="nil"/>
      </w:pBdr>
      <w:tabs>
        <w:tab w:val="center" w:pos="4320"/>
        <w:tab w:val="right" w:pos="8640"/>
      </w:tabs>
      <w:rPr>
        <w:color w:val="000000"/>
        <w:sz w:val="20"/>
        <w:szCs w:val="20"/>
      </w:rPr>
    </w:pPr>
    <w:bookmarkStart w:name="_heading=h.gjdgxs" w:colFirst="0" w:colLast="0" w:id="2"/>
    <w:bookmarkEnd w:id="2"/>
    <w:r>
      <w:rPr>
        <w:color w:val="000000"/>
        <w:sz w:val="20"/>
        <w:szCs w:val="20"/>
      </w:rPr>
      <w:t xml:space="preserve">LIEP Service Chart </w:t>
    </w:r>
    <w:proofErr w:type="gramStart"/>
    <w:r>
      <w:rPr>
        <w:color w:val="000000"/>
        <w:sz w:val="20"/>
        <w:szCs w:val="20"/>
      </w:rPr>
      <w:t>Guidanc</w:t>
    </w:r>
    <w:r>
      <w:rPr>
        <w:sz w:val="20"/>
        <w:szCs w:val="20"/>
      </w:rPr>
      <w:t xml:space="preserve">e  </w:t>
    </w:r>
    <w:r>
      <w:rPr>
        <w:sz w:val="20"/>
        <w:szCs w:val="20"/>
      </w:rPr>
      <w:tab/>
    </w:r>
    <w:proofErr w:type="gramEnd"/>
    <w:r>
      <w:rPr>
        <w:sz w:val="20"/>
        <w:szCs w:val="20"/>
      </w:rPr>
      <w:tab/>
    </w:r>
    <w:r>
      <w:rPr>
        <w:sz w:val="20"/>
        <w:szCs w:val="20"/>
      </w:rPr>
      <w:tab/>
    </w:r>
    <w:r>
      <w:rPr>
        <w:sz w:val="20"/>
        <w:szCs w:val="20"/>
      </w:rPr>
      <w:t>updated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6357" w:rsidRDefault="00556357" w14:paraId="580C4D2B" w14:textId="77777777">
      <w:r>
        <w:separator/>
      </w:r>
    </w:p>
  </w:footnote>
  <w:footnote w:type="continuationSeparator" w:id="0">
    <w:p w:rsidR="00556357" w:rsidRDefault="00556357" w14:paraId="7B6D4A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4963" w:rsidRDefault="00484963" w14:paraId="4A1A4163" w14:textId="77777777">
    <w:pPr>
      <w:pBdr>
        <w:top w:val="nil"/>
        <w:left w:val="nil"/>
        <w:bottom w:val="nil"/>
        <w:right w:val="nil"/>
        <w:between w:val="nil"/>
      </w:pBdr>
      <w:tabs>
        <w:tab w:val="center" w:pos="4320"/>
        <w:tab w:val="right" w:pos="8640"/>
      </w:tabs>
      <w:jc w:val="right"/>
      <w:rPr>
        <w:color w:val="000000"/>
      </w:rPr>
    </w:pPr>
  </w:p>
  <w:p w:rsidR="00484963" w:rsidRDefault="00484963" w14:paraId="6C4B47B5" w14:textId="77777777">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E5DCD"/>
    <w:multiLevelType w:val="multilevel"/>
    <w:tmpl w:val="94C83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75246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63"/>
    <w:rsid w:val="00484963"/>
    <w:rsid w:val="00556357"/>
    <w:rsid w:val="061CD257"/>
    <w:rsid w:val="0645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E66061"/>
  <w15:docId w15:val="{4380713A-CF2E-2C46-8EF1-56B49AA3FB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0DE7"/>
  </w:style>
  <w:style w:type="paragraph" w:styleId="Heading1">
    <w:name w:val="heading 1"/>
    <w:basedOn w:val="Normal"/>
    <w:next w:val="Normal"/>
    <w:uiPriority w:val="9"/>
    <w:qFormat/>
    <w:rsid w:val="00FE0DE7"/>
    <w:pPr>
      <w:keepNext/>
      <w:tabs>
        <w:tab w:val="left" w:pos="3240"/>
      </w:tabs>
      <w:outlineLvl w:val="0"/>
    </w:pPr>
    <w:rPr>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FE0DE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qFormat/>
    <w:rsid w:val="00FE0DE7"/>
    <w:rPr>
      <w:b/>
      <w:bCs/>
    </w:rPr>
  </w:style>
  <w:style w:type="character" w:styleId="Hyperlink">
    <w:name w:val="Hyperlink"/>
    <w:basedOn w:val="DefaultParagraphFont"/>
    <w:rsid w:val="00FE0DE7"/>
    <w:rPr>
      <w:color w:val="0000FF"/>
      <w:u w:val="single"/>
    </w:rPr>
  </w:style>
  <w:style w:type="paragraph" w:styleId="BodyTextIndent">
    <w:name w:val="Body Text Indent"/>
    <w:basedOn w:val="Normal"/>
    <w:rsid w:val="00FE0DE7"/>
    <w:pPr>
      <w:widowControl w:val="0"/>
      <w:ind w:left="720"/>
    </w:pPr>
    <w:rPr>
      <w:snapToGrid w:val="0"/>
      <w:szCs w:val="20"/>
    </w:rPr>
  </w:style>
  <w:style w:type="paragraph" w:styleId="NormalWeb">
    <w:name w:val="Normal (Web)"/>
    <w:basedOn w:val="Normal"/>
    <w:uiPriority w:val="99"/>
    <w:rsid w:val="00FE0DE7"/>
    <w:pPr>
      <w:spacing w:before="100" w:beforeAutospacing="1" w:after="100" w:afterAutospacing="1"/>
    </w:pPr>
    <w:rPr>
      <w:rFonts w:ascii="Arial Unicode MS" w:hAnsi="Arial Unicode MS" w:eastAsia="Arial Unicode MS" w:cs="Arial Unicode MS"/>
    </w:rPr>
  </w:style>
  <w:style w:type="character" w:styleId="headerslevel11" w:customStyle="1">
    <w:name w:val="headerslevel11"/>
    <w:basedOn w:val="DefaultParagraphFont"/>
    <w:rsid w:val="00FE0DE7"/>
    <w:rPr>
      <w:rFonts w:hint="default" w:ascii="Verdana" w:hAnsi="Verdana"/>
      <w:b/>
      <w:bCs/>
      <w:sz w:val="24"/>
      <w:szCs w:val="24"/>
    </w:rPr>
  </w:style>
  <w:style w:type="character" w:styleId="contenttext1" w:customStyle="1">
    <w:name w:val="contenttext1"/>
    <w:basedOn w:val="DefaultParagraphFont"/>
    <w:rsid w:val="00FE0DE7"/>
    <w:rPr>
      <w:rFonts w:hint="default" w:ascii="Verdana" w:hAnsi="Verdana"/>
      <w:color w:val="444444"/>
      <w:sz w:val="20"/>
      <w:szCs w:val="20"/>
    </w:rPr>
  </w:style>
  <w:style w:type="character" w:styleId="FollowedHyperlink">
    <w:name w:val="FollowedHyperlink"/>
    <w:basedOn w:val="DefaultParagraphFont"/>
    <w:rsid w:val="00290B4B"/>
    <w:rPr>
      <w:color w:val="800080"/>
      <w:u w:val="single"/>
    </w:rPr>
  </w:style>
  <w:style w:type="paragraph" w:styleId="Default" w:customStyle="1">
    <w:name w:val="Default"/>
    <w:rsid w:val="00B47CE0"/>
    <w:pPr>
      <w:autoSpaceDE w:val="0"/>
      <w:autoSpaceDN w:val="0"/>
      <w:adjustRightInd w:val="0"/>
    </w:pPr>
    <w:rPr>
      <w:color w:val="000000"/>
      <w:lang w:eastAsia="zh-CN"/>
    </w:rPr>
  </w:style>
  <w:style w:type="paragraph" w:styleId="Header">
    <w:name w:val="header"/>
    <w:basedOn w:val="Normal"/>
    <w:rsid w:val="00B47CE0"/>
    <w:pPr>
      <w:tabs>
        <w:tab w:val="center" w:pos="4320"/>
        <w:tab w:val="right" w:pos="8640"/>
      </w:tabs>
    </w:pPr>
    <w:rPr>
      <w:rFonts w:eastAsia="SimSun"/>
      <w:lang w:eastAsia="zh-CN"/>
    </w:rPr>
  </w:style>
  <w:style w:type="paragraph" w:styleId="Footer">
    <w:name w:val="footer"/>
    <w:basedOn w:val="Normal"/>
    <w:rsid w:val="00B47CE0"/>
    <w:pPr>
      <w:tabs>
        <w:tab w:val="center" w:pos="4320"/>
        <w:tab w:val="right" w:pos="8640"/>
      </w:tabs>
    </w:pPr>
    <w:rPr>
      <w:rFonts w:eastAsia="SimSun"/>
      <w:lang w:eastAsia="zh-CN"/>
    </w:rPr>
  </w:style>
  <w:style w:type="paragraph" w:styleId="BodyText">
    <w:name w:val="Body Text"/>
    <w:basedOn w:val="Normal"/>
    <w:link w:val="BodyTextChar"/>
    <w:rsid w:val="00452D51"/>
    <w:pPr>
      <w:spacing w:after="120"/>
    </w:pPr>
  </w:style>
  <w:style w:type="character" w:styleId="BodyTextChar" w:customStyle="1">
    <w:name w:val="Body Text Char"/>
    <w:basedOn w:val="DefaultParagraphFont"/>
    <w:link w:val="BodyText"/>
    <w:rsid w:val="00452D51"/>
    <w:rPr>
      <w:rFonts w:eastAsia="Times New Roman"/>
      <w:sz w:val="24"/>
      <w:szCs w:val="24"/>
    </w:rPr>
  </w:style>
  <w:style w:type="character" w:styleId="FootnoteReference">
    <w:name w:val="footnote reference"/>
    <w:basedOn w:val="DefaultParagraphFont"/>
    <w:uiPriority w:val="99"/>
    <w:rsid w:val="00452D51"/>
    <w:rPr>
      <w:rFonts w:cs="Times New Roman"/>
      <w:vertAlign w:val="superscript"/>
    </w:rPr>
  </w:style>
  <w:style w:type="character" w:styleId="contentsectionheader1" w:customStyle="1">
    <w:name w:val="contentsectionheader1"/>
    <w:basedOn w:val="DefaultParagraphFont"/>
    <w:rsid w:val="008F22A6"/>
    <w:rPr>
      <w:rFonts w:hint="default" w:ascii="Verdana" w:hAnsi="Verdana"/>
      <w:b/>
      <w:bCs/>
      <w:color w:val="8C9EAA"/>
      <w:sz w:val="18"/>
      <w:szCs w:val="18"/>
    </w:rPr>
  </w:style>
  <w:style w:type="paragraph" w:styleId="NoSpacing">
    <w:name w:val="No Spacing"/>
    <w:uiPriority w:val="1"/>
    <w:qFormat/>
    <w:rsid w:val="00D75409"/>
    <w:rPr>
      <w:rFonts w:ascii="Calibri" w:hAnsi="Calibri" w:eastAsia="Calibri"/>
      <w:sz w:val="22"/>
      <w:szCs w:val="22"/>
    </w:rPr>
  </w:style>
  <w:style w:type="paragraph" w:styleId="BalloonText">
    <w:name w:val="Balloon Text"/>
    <w:basedOn w:val="Normal"/>
    <w:link w:val="BalloonTextChar"/>
    <w:rsid w:val="004B53DF"/>
    <w:rPr>
      <w:rFonts w:ascii="Tahoma" w:hAnsi="Tahoma" w:cs="Tahoma"/>
      <w:sz w:val="16"/>
      <w:szCs w:val="16"/>
    </w:rPr>
  </w:style>
  <w:style w:type="character" w:styleId="BalloonTextChar" w:customStyle="1">
    <w:name w:val="Balloon Text Char"/>
    <w:basedOn w:val="DefaultParagraphFont"/>
    <w:link w:val="BalloonText"/>
    <w:rsid w:val="004B53DF"/>
    <w:rPr>
      <w:rFonts w:ascii="Tahoma" w:hAnsi="Tahoma" w:eastAsia="Times New Roman" w:cs="Tahoma"/>
      <w:sz w:val="16"/>
      <w:szCs w:val="16"/>
    </w:rPr>
  </w:style>
  <w:style w:type="character" w:styleId="CommentReference">
    <w:name w:val="annotation reference"/>
    <w:basedOn w:val="DefaultParagraphFont"/>
    <w:semiHidden/>
    <w:unhideWhenUsed/>
    <w:rsid w:val="009E79E6"/>
    <w:rPr>
      <w:sz w:val="16"/>
      <w:szCs w:val="16"/>
    </w:rPr>
  </w:style>
  <w:style w:type="paragraph" w:styleId="CommentText">
    <w:name w:val="annotation text"/>
    <w:basedOn w:val="Normal"/>
    <w:link w:val="CommentTextChar"/>
    <w:semiHidden/>
    <w:unhideWhenUsed/>
    <w:rsid w:val="009E79E6"/>
    <w:rPr>
      <w:sz w:val="20"/>
      <w:szCs w:val="20"/>
    </w:rPr>
  </w:style>
  <w:style w:type="character" w:styleId="CommentTextChar" w:customStyle="1">
    <w:name w:val="Comment Text Char"/>
    <w:basedOn w:val="DefaultParagraphFont"/>
    <w:link w:val="CommentText"/>
    <w:semiHidden/>
    <w:rsid w:val="009E79E6"/>
    <w:rPr>
      <w:rFonts w:eastAsia="Times New Roman"/>
    </w:rPr>
  </w:style>
  <w:style w:type="paragraph" w:styleId="CommentSubject">
    <w:name w:val="annotation subject"/>
    <w:basedOn w:val="CommentText"/>
    <w:next w:val="CommentText"/>
    <w:link w:val="CommentSubjectChar"/>
    <w:semiHidden/>
    <w:unhideWhenUsed/>
    <w:rsid w:val="009E79E6"/>
    <w:rPr>
      <w:b/>
      <w:bCs/>
    </w:rPr>
  </w:style>
  <w:style w:type="character" w:styleId="CommentSubjectChar" w:customStyle="1">
    <w:name w:val="Comment Subject Char"/>
    <w:basedOn w:val="CommentTextChar"/>
    <w:link w:val="CommentSubject"/>
    <w:semiHidden/>
    <w:rsid w:val="009E79E6"/>
    <w:rPr>
      <w:rFonts w:eastAsia="Times New Roman"/>
      <w:b/>
      <w:bCs/>
    </w:rPr>
  </w:style>
  <w:style w:type="paragraph" w:styleId="ListParagraph">
    <w:name w:val="List Paragraph"/>
    <w:basedOn w:val="Normal"/>
    <w:uiPriority w:val="34"/>
    <w:qFormat/>
    <w:rsid w:val="008736A7"/>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rPr>
      <w:sz w:val="20"/>
      <w:szCs w:val="20"/>
    </w:rPr>
    <w:tblPr>
      <w:tblStyleRowBandSize w:val="1"/>
      <w:tblStyleColBandSize w:val="1"/>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Pr>
  </w:style>
  <w:style w:type="table" w:styleId="a5" w:customStyle="1">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apps.schools.nc.gov/ords/f?p=144:163::::::"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s://www.dpi.nc.gov/districts-schools/classroom-resources/academic-standards/standard-course-study/english-language-development/el-program-compliance" TargetMode="External" Id="rId10" /><Relationship Type="http://schemas.openxmlformats.org/officeDocument/2006/relationships/settings" Target="settings.xml" Id="rId4" /><Relationship Type="http://schemas.openxmlformats.org/officeDocument/2006/relationships/hyperlink" Target="https://www2.ed.gov/about/offices/list/oela/english-learner-toolkit/chap4.pdf"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kQKHcbAsMWcsihHlM7E+NjKjfw==">CgMxLjAyDmgubm9rdmc0MzNlaDBwMg5oLm5kZXRmejFtanp3bzIIaC5namRneHM4AHIhMVp0dV8xanEtcFNyNUEwV1MyR21Ydml1aTAzbHUxaTBJ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3" ma:contentTypeDescription="Create a new document." ma:contentTypeScope="" ma:versionID="457877df2aee1cf39c40e00ff0e07d4f">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5987be2a701dbd0cbb050bf93cf11b00"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193ac7-f074-497f-a938-4c812096122a">
      <Terms xmlns="http://schemas.microsoft.com/office/infopath/2007/PartnerControls"/>
    </lcf76f155ced4ddcb4097134ff3c332f>
    <TaxCatchAll xmlns="a663bc7e-d16f-4815-8c52-72575c0867ae" xsi:nil="true"/>
    <_ip_UnifiedCompliancePolicyProperties xmlns="http://schemas.microsoft.com/sharepoint/v3" xsi:nil="true"/>
    <order0 xmlns="c2193ac7-f074-497f-a938-4c812096122a" xsi:nil="true"/>
    <date xmlns="c2193ac7-f074-497f-a938-4c812096122a" xsi:nil="true"/>
    <Date0 xmlns="c2193ac7-f074-497f-a938-4c812096122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E109DFE-3140-4F84-84D3-7B16A9E95D21}"/>
</file>

<file path=customXml/itemProps3.xml><?xml version="1.0" encoding="utf-8"?>
<ds:datastoreItem xmlns:ds="http://schemas.openxmlformats.org/officeDocument/2006/customXml" ds:itemID="{7CA1C1ED-9D55-4042-85D4-1461AA60B562}"/>
</file>

<file path=customXml/itemProps4.xml><?xml version="1.0" encoding="utf-8"?>
<ds:datastoreItem xmlns:ds="http://schemas.openxmlformats.org/officeDocument/2006/customXml" ds:itemID="{ED42F0F6-835D-4ECA-8FEA-7B9D7DA4A1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Glenda Harrell</dc:creator>
  <lastModifiedBy>Timothy Dryman</lastModifiedBy>
  <revision>3</revision>
  <dcterms:created xsi:type="dcterms:W3CDTF">2024-04-25T14:30:00.0000000Z</dcterms:created>
  <dcterms:modified xsi:type="dcterms:W3CDTF">2024-06-05T18:14:23.3206446Z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MediaServiceImageTags">
    <vt:lpwstr/>
  </property>
</Properties>
</file>