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4BCD1" w14:textId="6ED8320A" w:rsidR="003707D1" w:rsidRPr="00BD58B4" w:rsidRDefault="003707D1" w:rsidP="003707D1">
      <w:pPr>
        <w:jc w:val="center"/>
        <w:rPr>
          <w:b/>
          <w:bCs/>
          <w:sz w:val="24"/>
          <w:szCs w:val="24"/>
        </w:rPr>
      </w:pPr>
      <w:permStart w:id="1507473176" w:edGrp="everyone"/>
      <w:permEnd w:id="1507473176"/>
      <w:r w:rsidRPr="00BD58B4">
        <w:rPr>
          <w:b/>
          <w:bCs/>
          <w:sz w:val="24"/>
          <w:szCs w:val="24"/>
        </w:rPr>
        <w:t>PRC</w:t>
      </w:r>
      <w:r w:rsidR="00B06BD4" w:rsidRPr="00BD58B4">
        <w:rPr>
          <w:b/>
          <w:bCs/>
          <w:sz w:val="24"/>
          <w:szCs w:val="24"/>
        </w:rPr>
        <w:t xml:space="preserve"> </w:t>
      </w:r>
      <w:r w:rsidRPr="00BD58B4">
        <w:rPr>
          <w:b/>
          <w:bCs/>
          <w:sz w:val="24"/>
          <w:szCs w:val="24"/>
        </w:rPr>
        <w:t>184 Frequently Asked Questions (FAQ)</w:t>
      </w:r>
    </w:p>
    <w:p w14:paraId="2CAB97DF" w14:textId="77777777" w:rsidR="00BD58B4" w:rsidRDefault="00BD58B4" w:rsidP="00BD58B4">
      <w:pPr>
        <w:rPr>
          <w:i/>
          <w:iCs/>
          <w:sz w:val="20"/>
          <w:szCs w:val="20"/>
        </w:rPr>
      </w:pPr>
    </w:p>
    <w:p w14:paraId="48BE85FF" w14:textId="3F654F9A" w:rsidR="007D2666" w:rsidRPr="00BD58B4" w:rsidRDefault="00BD58B4" w:rsidP="00BD58B4">
      <w:pPr>
        <w:rPr>
          <w:i/>
          <w:iCs/>
          <w:sz w:val="20"/>
          <w:szCs w:val="20"/>
        </w:rPr>
      </w:pPr>
      <w:r w:rsidRPr="00BD58B4">
        <w:rPr>
          <w:i/>
          <w:iCs/>
          <w:sz w:val="20"/>
          <w:szCs w:val="20"/>
        </w:rPr>
        <w:t xml:space="preserve">LEA is now known as a </w:t>
      </w:r>
      <w:proofErr w:type="gramStart"/>
      <w:r w:rsidRPr="00BD58B4">
        <w:rPr>
          <w:i/>
          <w:iCs/>
          <w:sz w:val="20"/>
          <w:szCs w:val="20"/>
        </w:rPr>
        <w:t>Public School</w:t>
      </w:r>
      <w:proofErr w:type="gramEnd"/>
      <w:r w:rsidRPr="00BD58B4">
        <w:rPr>
          <w:i/>
          <w:iCs/>
          <w:sz w:val="20"/>
          <w:szCs w:val="20"/>
        </w:rPr>
        <w:t xml:space="preserve"> Unit (</w:t>
      </w:r>
      <w:r w:rsidR="007D2666" w:rsidRPr="00BD58B4">
        <w:rPr>
          <w:b/>
          <w:bCs/>
          <w:i/>
          <w:iCs/>
          <w:sz w:val="20"/>
          <w:szCs w:val="20"/>
        </w:rPr>
        <w:t>PSU</w:t>
      </w:r>
      <w:r w:rsidRPr="00BD58B4">
        <w:rPr>
          <w:i/>
          <w:iCs/>
          <w:sz w:val="20"/>
          <w:szCs w:val="20"/>
        </w:rPr>
        <w:t>) in NC</w:t>
      </w:r>
    </w:p>
    <w:p w14:paraId="09395349" w14:textId="0528FB15" w:rsidR="00F0462A" w:rsidRPr="00BD58B4" w:rsidRDefault="00F0462A" w:rsidP="00BD58B4">
      <w:pPr>
        <w:rPr>
          <w:sz w:val="20"/>
          <w:szCs w:val="20"/>
        </w:rPr>
      </w:pPr>
      <w:r w:rsidRPr="00BD58B4">
        <w:rPr>
          <w:sz w:val="20"/>
          <w:szCs w:val="20"/>
        </w:rPr>
        <w:t xml:space="preserve">An </w:t>
      </w:r>
      <w:hyperlink r:id="rId7" w:history="1">
        <w:r w:rsidRPr="00BD58B4">
          <w:rPr>
            <w:rStyle w:val="Hyperlink"/>
            <w:b/>
            <w:bCs/>
            <w:sz w:val="20"/>
            <w:szCs w:val="20"/>
          </w:rPr>
          <w:t xml:space="preserve">additional </w:t>
        </w:r>
        <w:r w:rsidR="004C18F0" w:rsidRPr="00BD58B4">
          <w:rPr>
            <w:rStyle w:val="Hyperlink"/>
            <w:b/>
            <w:bCs/>
            <w:sz w:val="20"/>
            <w:szCs w:val="20"/>
          </w:rPr>
          <w:t xml:space="preserve">ARP-HCY </w:t>
        </w:r>
        <w:r w:rsidRPr="00BD58B4">
          <w:rPr>
            <w:rStyle w:val="Hyperlink"/>
            <w:b/>
            <w:bCs/>
            <w:sz w:val="20"/>
            <w:szCs w:val="20"/>
          </w:rPr>
          <w:t>FAQ</w:t>
        </w:r>
      </w:hyperlink>
      <w:r w:rsidRPr="00BD58B4">
        <w:rPr>
          <w:sz w:val="20"/>
          <w:szCs w:val="20"/>
        </w:rPr>
        <w:t xml:space="preserve"> is also available from the</w:t>
      </w:r>
      <w:r w:rsidR="009538B2" w:rsidRPr="00BD58B4">
        <w:rPr>
          <w:sz w:val="20"/>
          <w:szCs w:val="20"/>
        </w:rPr>
        <w:t xml:space="preserve"> </w:t>
      </w:r>
      <w:r w:rsidRPr="00BD58B4">
        <w:rPr>
          <w:sz w:val="20"/>
          <w:szCs w:val="20"/>
        </w:rPr>
        <w:t>Office of Elementary and Secondary Education (OESE).</w:t>
      </w:r>
    </w:p>
    <w:p w14:paraId="1A1E99B3" w14:textId="23B7B323" w:rsidR="000A42E0" w:rsidRPr="00BD58B4" w:rsidRDefault="000A42E0" w:rsidP="000A42E0">
      <w:pPr>
        <w:contextualSpacing/>
        <w:rPr>
          <w:b/>
          <w:bCs/>
          <w:sz w:val="20"/>
          <w:szCs w:val="20"/>
        </w:rPr>
      </w:pPr>
      <w:r w:rsidRPr="00BD58B4">
        <w:rPr>
          <w:b/>
          <w:bCs/>
          <w:sz w:val="20"/>
          <w:szCs w:val="20"/>
        </w:rPr>
        <w:t xml:space="preserve">What is the decisive factor for </w:t>
      </w:r>
      <w:r w:rsidR="00BD58B4">
        <w:rPr>
          <w:b/>
          <w:bCs/>
          <w:sz w:val="20"/>
          <w:szCs w:val="20"/>
        </w:rPr>
        <w:t xml:space="preserve">the </w:t>
      </w:r>
      <w:r w:rsidRPr="00BD58B4">
        <w:rPr>
          <w:b/>
          <w:bCs/>
          <w:sz w:val="20"/>
          <w:szCs w:val="20"/>
        </w:rPr>
        <w:t>allocation of funds and the eligibility amount?</w:t>
      </w:r>
    </w:p>
    <w:p w14:paraId="22FB36A1" w14:textId="5D326793" w:rsidR="000A42E0" w:rsidRPr="00BD58B4" w:rsidRDefault="000A42E0" w:rsidP="00BD58B4">
      <w:pPr>
        <w:contextualSpacing/>
        <w:jc w:val="both"/>
        <w:rPr>
          <w:color w:val="2F5496" w:themeColor="accent1" w:themeShade="BF"/>
          <w:sz w:val="20"/>
          <w:szCs w:val="20"/>
        </w:rPr>
      </w:pPr>
      <w:r w:rsidRPr="00BD58B4">
        <w:rPr>
          <w:color w:val="2F5496" w:themeColor="accent1" w:themeShade="BF"/>
          <w:sz w:val="20"/>
          <w:szCs w:val="20"/>
        </w:rPr>
        <w:t xml:space="preserve">As outlined in the July 9, 2021, Final Rules and Regulations document and the presentation materials, which are both housed in the NCDPI Resources section of CCIP, the award is formula based consisting equally of the Title I, Part A allocation of the </w:t>
      </w:r>
      <w:r w:rsidR="003B4878" w:rsidRPr="00BD58B4">
        <w:rPr>
          <w:color w:val="2F5496" w:themeColor="accent1" w:themeShade="BF"/>
          <w:sz w:val="20"/>
          <w:szCs w:val="20"/>
        </w:rPr>
        <w:t>PSU</w:t>
      </w:r>
      <w:r w:rsidRPr="00BD58B4">
        <w:rPr>
          <w:color w:val="2F5496" w:themeColor="accent1" w:themeShade="BF"/>
          <w:sz w:val="20"/>
          <w:szCs w:val="20"/>
        </w:rPr>
        <w:t xml:space="preserve"> for the most recent fiscal year, as well as the </w:t>
      </w:r>
      <w:r w:rsidR="003B4878" w:rsidRPr="00BD58B4">
        <w:rPr>
          <w:color w:val="2F5496" w:themeColor="accent1" w:themeShade="BF"/>
          <w:sz w:val="20"/>
          <w:szCs w:val="20"/>
        </w:rPr>
        <w:t>PSU</w:t>
      </w:r>
      <w:r w:rsidRPr="00BD58B4">
        <w:rPr>
          <w:color w:val="2F5496" w:themeColor="accent1" w:themeShade="BF"/>
          <w:sz w:val="20"/>
          <w:szCs w:val="20"/>
        </w:rPr>
        <w:t xml:space="preserve">’s proportional share of the number of identified students by each </w:t>
      </w:r>
      <w:r w:rsidR="003B4878" w:rsidRPr="00BD58B4">
        <w:rPr>
          <w:color w:val="2F5496" w:themeColor="accent1" w:themeShade="BF"/>
          <w:sz w:val="20"/>
          <w:szCs w:val="20"/>
        </w:rPr>
        <w:t>PSU</w:t>
      </w:r>
      <w:r w:rsidRPr="00BD58B4">
        <w:rPr>
          <w:color w:val="2F5496" w:themeColor="accent1" w:themeShade="BF"/>
          <w:sz w:val="20"/>
          <w:szCs w:val="20"/>
        </w:rPr>
        <w:t xml:space="preserve"> relative to all </w:t>
      </w:r>
      <w:r w:rsidR="003B4878" w:rsidRPr="00BD58B4">
        <w:rPr>
          <w:color w:val="2F5496" w:themeColor="accent1" w:themeShade="BF"/>
          <w:sz w:val="20"/>
          <w:szCs w:val="20"/>
        </w:rPr>
        <w:t>PSU</w:t>
      </w:r>
      <w:r w:rsidRPr="00BD58B4">
        <w:rPr>
          <w:color w:val="2F5496" w:themeColor="accent1" w:themeShade="BF"/>
          <w:sz w:val="20"/>
          <w:szCs w:val="20"/>
        </w:rPr>
        <w:t>s in the state, using the greater student count from either the 2018-2019SY or the 2019-2020SY.</w:t>
      </w:r>
    </w:p>
    <w:p w14:paraId="4141F346" w14:textId="77777777" w:rsidR="000A42E0" w:rsidRPr="00BD58B4" w:rsidRDefault="000A42E0" w:rsidP="00BD58B4">
      <w:pPr>
        <w:contextualSpacing/>
        <w:jc w:val="both"/>
        <w:rPr>
          <w:sz w:val="20"/>
          <w:szCs w:val="20"/>
        </w:rPr>
      </w:pPr>
    </w:p>
    <w:p w14:paraId="6494C3F7" w14:textId="253F402A" w:rsidR="00D7632E" w:rsidRPr="00BD58B4" w:rsidRDefault="006C3D7B" w:rsidP="00BD58B4">
      <w:pPr>
        <w:contextualSpacing/>
        <w:jc w:val="both"/>
        <w:rPr>
          <w:b/>
          <w:bCs/>
          <w:sz w:val="20"/>
          <w:szCs w:val="20"/>
        </w:rPr>
      </w:pPr>
      <w:r w:rsidRPr="00BD58B4">
        <w:rPr>
          <w:b/>
          <w:bCs/>
          <w:sz w:val="20"/>
          <w:szCs w:val="20"/>
        </w:rPr>
        <w:t>How do we apply for PRC 184 funding?</w:t>
      </w:r>
    </w:p>
    <w:p w14:paraId="110B42FB" w14:textId="21DAD66B" w:rsidR="00E4260E" w:rsidRPr="00BD58B4" w:rsidRDefault="00E4260E" w:rsidP="00BD58B4">
      <w:pPr>
        <w:contextualSpacing/>
        <w:jc w:val="both"/>
        <w:rPr>
          <w:color w:val="2F5496" w:themeColor="accent1" w:themeShade="BF"/>
          <w:sz w:val="20"/>
          <w:szCs w:val="20"/>
        </w:rPr>
      </w:pPr>
      <w:r w:rsidRPr="00BD58B4">
        <w:rPr>
          <w:color w:val="2F5496" w:themeColor="accent1" w:themeShade="BF"/>
          <w:sz w:val="20"/>
          <w:szCs w:val="20"/>
        </w:rPr>
        <w:t>The application</w:t>
      </w:r>
      <w:r w:rsidR="00A00F1E" w:rsidRPr="00BD58B4">
        <w:rPr>
          <w:color w:val="2F5496" w:themeColor="accent1" w:themeShade="BF"/>
          <w:sz w:val="20"/>
          <w:szCs w:val="20"/>
        </w:rPr>
        <w:t xml:space="preserve"> for PRC 184</w:t>
      </w:r>
      <w:r w:rsidRPr="00BD58B4">
        <w:rPr>
          <w:color w:val="2F5496" w:themeColor="accent1" w:themeShade="BF"/>
          <w:sz w:val="20"/>
          <w:szCs w:val="20"/>
        </w:rPr>
        <w:t xml:space="preserve"> </w:t>
      </w:r>
      <w:proofErr w:type="gramStart"/>
      <w:r w:rsidRPr="00BD58B4">
        <w:rPr>
          <w:color w:val="2F5496" w:themeColor="accent1" w:themeShade="BF"/>
          <w:sz w:val="20"/>
          <w:szCs w:val="20"/>
        </w:rPr>
        <w:t>is located in</w:t>
      </w:r>
      <w:proofErr w:type="gramEnd"/>
      <w:r w:rsidRPr="00BD58B4">
        <w:rPr>
          <w:color w:val="2F5496" w:themeColor="accent1" w:themeShade="BF"/>
          <w:sz w:val="20"/>
          <w:szCs w:val="20"/>
        </w:rPr>
        <w:t xml:space="preserve"> CCIP</w:t>
      </w:r>
      <w:r w:rsidR="00A00F1E" w:rsidRPr="00BD58B4">
        <w:rPr>
          <w:color w:val="2F5496" w:themeColor="accent1" w:themeShade="BF"/>
          <w:sz w:val="20"/>
          <w:szCs w:val="20"/>
        </w:rPr>
        <w:t xml:space="preserve"> for completion.  </w:t>
      </w:r>
      <w:r w:rsidRPr="00BD58B4">
        <w:rPr>
          <w:color w:val="2F5496" w:themeColor="accent1" w:themeShade="BF"/>
          <w:sz w:val="20"/>
          <w:szCs w:val="20"/>
        </w:rPr>
        <w:t xml:space="preserve"> </w:t>
      </w:r>
      <w:r w:rsidR="00A00F1E" w:rsidRPr="00BD58B4">
        <w:rPr>
          <w:color w:val="2F5496" w:themeColor="accent1" w:themeShade="BF"/>
          <w:sz w:val="20"/>
          <w:szCs w:val="20"/>
        </w:rPr>
        <w:t>D</w:t>
      </w:r>
      <w:r w:rsidRPr="00BD58B4">
        <w:rPr>
          <w:color w:val="2F5496" w:themeColor="accent1" w:themeShade="BF"/>
          <w:sz w:val="20"/>
          <w:szCs w:val="20"/>
        </w:rPr>
        <w:t xml:space="preserve">etails on applying may be found by accessing the October 26, 2021, presentation </w:t>
      </w:r>
      <w:r w:rsidR="00CC05B0" w:rsidRPr="00BD58B4">
        <w:rPr>
          <w:color w:val="2F5496" w:themeColor="accent1" w:themeShade="BF"/>
          <w:sz w:val="20"/>
          <w:szCs w:val="20"/>
        </w:rPr>
        <w:t xml:space="preserve">file </w:t>
      </w:r>
      <w:r w:rsidRPr="00BD58B4">
        <w:rPr>
          <w:color w:val="2F5496" w:themeColor="accent1" w:themeShade="BF"/>
          <w:sz w:val="20"/>
          <w:szCs w:val="20"/>
        </w:rPr>
        <w:t>housed in the NCDPI Resource</w:t>
      </w:r>
      <w:r w:rsidR="00182095" w:rsidRPr="00BD58B4">
        <w:rPr>
          <w:color w:val="2F5496" w:themeColor="accent1" w:themeShade="BF"/>
          <w:sz w:val="20"/>
          <w:szCs w:val="20"/>
        </w:rPr>
        <w:t xml:space="preserve"> section</w:t>
      </w:r>
      <w:r w:rsidRPr="00BD58B4">
        <w:rPr>
          <w:color w:val="2F5496" w:themeColor="accent1" w:themeShade="BF"/>
          <w:sz w:val="20"/>
          <w:szCs w:val="20"/>
        </w:rPr>
        <w:t xml:space="preserve"> within CCIP.</w:t>
      </w:r>
    </w:p>
    <w:p w14:paraId="5CBD8416" w14:textId="77777777" w:rsidR="000A42E0" w:rsidRPr="00BD58B4" w:rsidRDefault="000A42E0" w:rsidP="00BD58B4">
      <w:pPr>
        <w:contextualSpacing/>
        <w:jc w:val="both"/>
        <w:rPr>
          <w:sz w:val="20"/>
          <w:szCs w:val="20"/>
        </w:rPr>
      </w:pPr>
    </w:p>
    <w:p w14:paraId="3A2ECC8C" w14:textId="24AEABC0" w:rsidR="00D7632E" w:rsidRPr="00BD58B4" w:rsidRDefault="009718DF" w:rsidP="00BD58B4">
      <w:pPr>
        <w:contextualSpacing/>
        <w:jc w:val="both"/>
        <w:rPr>
          <w:b/>
          <w:bCs/>
          <w:sz w:val="20"/>
          <w:szCs w:val="20"/>
        </w:rPr>
      </w:pPr>
      <w:r w:rsidRPr="00BD58B4">
        <w:rPr>
          <w:b/>
          <w:bCs/>
          <w:sz w:val="20"/>
          <w:szCs w:val="20"/>
        </w:rPr>
        <w:t>What are the all</w:t>
      </w:r>
      <w:r w:rsidR="00D7632E" w:rsidRPr="00BD58B4">
        <w:rPr>
          <w:b/>
          <w:bCs/>
          <w:sz w:val="20"/>
          <w:szCs w:val="20"/>
        </w:rPr>
        <w:t>owable use</w:t>
      </w:r>
      <w:r w:rsidRPr="00BD58B4">
        <w:rPr>
          <w:b/>
          <w:bCs/>
          <w:sz w:val="20"/>
          <w:szCs w:val="20"/>
        </w:rPr>
        <w:t>s</w:t>
      </w:r>
      <w:r w:rsidR="00D7632E" w:rsidRPr="00BD58B4">
        <w:rPr>
          <w:b/>
          <w:bCs/>
          <w:sz w:val="20"/>
          <w:szCs w:val="20"/>
        </w:rPr>
        <w:t xml:space="preserve"> of </w:t>
      </w:r>
      <w:r w:rsidRPr="00BD58B4">
        <w:rPr>
          <w:b/>
          <w:bCs/>
          <w:sz w:val="20"/>
          <w:szCs w:val="20"/>
        </w:rPr>
        <w:t xml:space="preserve">PRC 184 </w:t>
      </w:r>
      <w:r w:rsidR="00D7632E" w:rsidRPr="00BD58B4">
        <w:rPr>
          <w:b/>
          <w:bCs/>
          <w:sz w:val="20"/>
          <w:szCs w:val="20"/>
        </w:rPr>
        <w:t>funds?</w:t>
      </w:r>
    </w:p>
    <w:p w14:paraId="2C416DAA" w14:textId="595FF897" w:rsidR="005C0CCF" w:rsidRPr="00BD58B4" w:rsidRDefault="00E4260E" w:rsidP="00BD58B4">
      <w:pPr>
        <w:contextualSpacing/>
        <w:jc w:val="both"/>
        <w:rPr>
          <w:color w:val="2F5496" w:themeColor="accent1" w:themeShade="BF"/>
          <w:sz w:val="20"/>
          <w:szCs w:val="20"/>
        </w:rPr>
      </w:pPr>
      <w:r w:rsidRPr="00BD58B4">
        <w:rPr>
          <w:color w:val="2F5496" w:themeColor="accent1" w:themeShade="BF"/>
          <w:sz w:val="20"/>
          <w:szCs w:val="20"/>
        </w:rPr>
        <w:t xml:space="preserve">As noted within the </w:t>
      </w:r>
      <w:r w:rsidR="005A3AD9" w:rsidRPr="00BD58B4">
        <w:rPr>
          <w:color w:val="2F5496" w:themeColor="accent1" w:themeShade="BF"/>
          <w:sz w:val="20"/>
          <w:szCs w:val="20"/>
        </w:rPr>
        <w:t>July 9, 2021</w:t>
      </w:r>
      <w:r w:rsidR="006862B8" w:rsidRPr="00BD58B4">
        <w:rPr>
          <w:color w:val="2F5496" w:themeColor="accent1" w:themeShade="BF"/>
          <w:sz w:val="20"/>
          <w:szCs w:val="20"/>
        </w:rPr>
        <w:t>,</w:t>
      </w:r>
      <w:r w:rsidR="005A3AD9" w:rsidRPr="00BD58B4">
        <w:rPr>
          <w:color w:val="2F5496" w:themeColor="accent1" w:themeShade="BF"/>
          <w:sz w:val="20"/>
          <w:szCs w:val="20"/>
        </w:rPr>
        <w:t xml:space="preserve"> Final Rules and Regulations document, which is </w:t>
      </w:r>
      <w:r w:rsidR="005B0FA6" w:rsidRPr="00BD58B4">
        <w:rPr>
          <w:color w:val="2F5496" w:themeColor="accent1" w:themeShade="BF"/>
          <w:sz w:val="20"/>
          <w:szCs w:val="20"/>
        </w:rPr>
        <w:t>the NCD</w:t>
      </w:r>
      <w:r w:rsidR="005A3AD9" w:rsidRPr="00BD58B4">
        <w:rPr>
          <w:color w:val="2F5496" w:themeColor="accent1" w:themeShade="BF"/>
          <w:sz w:val="20"/>
          <w:szCs w:val="20"/>
        </w:rPr>
        <w:t xml:space="preserve">PI Resources section, these funds may be used to address </w:t>
      </w:r>
      <w:r w:rsidR="00BD58B4">
        <w:rPr>
          <w:color w:val="2F5496" w:themeColor="accent1" w:themeShade="BF"/>
          <w:sz w:val="20"/>
          <w:szCs w:val="20"/>
        </w:rPr>
        <w:t xml:space="preserve">the </w:t>
      </w:r>
      <w:r w:rsidR="005A3AD9" w:rsidRPr="00BD58B4">
        <w:rPr>
          <w:color w:val="2F5496" w:themeColor="accent1" w:themeShade="BF"/>
          <w:sz w:val="20"/>
          <w:szCs w:val="20"/>
        </w:rPr>
        <w:t xml:space="preserve">academic, social, emotional, and mental health needs of students impacted by the pandemic.  </w:t>
      </w:r>
      <w:r w:rsidR="00DA4453" w:rsidRPr="00BD58B4">
        <w:rPr>
          <w:color w:val="2F5496" w:themeColor="accent1" w:themeShade="BF"/>
          <w:sz w:val="20"/>
          <w:szCs w:val="20"/>
        </w:rPr>
        <w:t xml:space="preserve">Also housed in the Resource section </w:t>
      </w:r>
      <w:r w:rsidR="005A3AD9" w:rsidRPr="00BD58B4">
        <w:rPr>
          <w:color w:val="2F5496" w:themeColor="accent1" w:themeShade="BF"/>
          <w:sz w:val="20"/>
          <w:szCs w:val="20"/>
        </w:rPr>
        <w:t xml:space="preserve">are the established subgrant allowable activities of PRC 026, which can be found within section (d) of </w:t>
      </w:r>
      <w:r w:rsidR="005A3AD9" w:rsidRPr="00BD58B4">
        <w:rPr>
          <w:rFonts w:cstheme="minorHAnsi"/>
          <w:color w:val="2F5496" w:themeColor="accent1" w:themeShade="BF"/>
          <w:sz w:val="20"/>
          <w:szCs w:val="20"/>
        </w:rPr>
        <w:t>§</w:t>
      </w:r>
      <w:r w:rsidR="005A3AD9" w:rsidRPr="00BD58B4">
        <w:rPr>
          <w:color w:val="2F5496" w:themeColor="accent1" w:themeShade="BF"/>
          <w:sz w:val="20"/>
          <w:szCs w:val="20"/>
        </w:rPr>
        <w:t>11433</w:t>
      </w:r>
      <w:r w:rsidR="00DA4453" w:rsidRPr="00BD58B4">
        <w:rPr>
          <w:color w:val="2F5496" w:themeColor="accent1" w:themeShade="BF"/>
          <w:sz w:val="20"/>
          <w:szCs w:val="20"/>
        </w:rPr>
        <w:t xml:space="preserve"> within the </w:t>
      </w:r>
      <w:r w:rsidR="009A0EFB" w:rsidRPr="00BD58B4">
        <w:rPr>
          <w:color w:val="2F5496" w:themeColor="accent1" w:themeShade="BF"/>
          <w:sz w:val="20"/>
          <w:szCs w:val="20"/>
        </w:rPr>
        <w:t>“</w:t>
      </w:r>
      <w:r w:rsidR="00DA4453" w:rsidRPr="00BD58B4">
        <w:rPr>
          <w:color w:val="2F5496" w:themeColor="accent1" w:themeShade="BF"/>
          <w:sz w:val="20"/>
          <w:szCs w:val="20"/>
        </w:rPr>
        <w:t>McKinney-Vento Act</w:t>
      </w:r>
      <w:r w:rsidR="009A0EFB" w:rsidRPr="00BD58B4">
        <w:rPr>
          <w:color w:val="2F5496" w:themeColor="accent1" w:themeShade="BF"/>
          <w:sz w:val="20"/>
          <w:szCs w:val="20"/>
        </w:rPr>
        <w:t>”</w:t>
      </w:r>
      <w:r w:rsidR="00DA4453" w:rsidRPr="00BD58B4">
        <w:rPr>
          <w:color w:val="2F5496" w:themeColor="accent1" w:themeShade="BF"/>
          <w:sz w:val="20"/>
          <w:szCs w:val="20"/>
        </w:rPr>
        <w:t xml:space="preserve"> document</w:t>
      </w:r>
      <w:r w:rsidR="005A3AD9" w:rsidRPr="00BD58B4">
        <w:rPr>
          <w:color w:val="2F5496" w:themeColor="accent1" w:themeShade="BF"/>
          <w:sz w:val="20"/>
          <w:szCs w:val="20"/>
        </w:rPr>
        <w:t>.</w:t>
      </w:r>
      <w:r w:rsidRPr="00BD58B4">
        <w:rPr>
          <w:color w:val="2F5496" w:themeColor="accent1" w:themeShade="BF"/>
          <w:sz w:val="20"/>
          <w:szCs w:val="20"/>
        </w:rPr>
        <w:t xml:space="preserve"> </w:t>
      </w:r>
      <w:r w:rsidR="005A3AD9" w:rsidRPr="00BD58B4">
        <w:rPr>
          <w:color w:val="2F5496" w:themeColor="accent1" w:themeShade="BF"/>
          <w:sz w:val="20"/>
          <w:szCs w:val="20"/>
        </w:rPr>
        <w:t xml:space="preserve"> A sample list of allowable activities is also provided within the presentation slides.  </w:t>
      </w:r>
    </w:p>
    <w:p w14:paraId="61011AC8" w14:textId="073CBA44" w:rsidR="000A42E0" w:rsidRPr="00BD58B4" w:rsidRDefault="000A42E0" w:rsidP="00BD58B4">
      <w:pPr>
        <w:contextualSpacing/>
        <w:jc w:val="both"/>
        <w:rPr>
          <w:b/>
          <w:bCs/>
          <w:sz w:val="20"/>
          <w:szCs w:val="20"/>
        </w:rPr>
      </w:pPr>
    </w:p>
    <w:p w14:paraId="387D02A8" w14:textId="79851D8F" w:rsidR="000A42E0" w:rsidRPr="00BD58B4" w:rsidRDefault="000A42E0" w:rsidP="00BD58B4">
      <w:pPr>
        <w:spacing w:after="0"/>
        <w:contextualSpacing/>
        <w:jc w:val="both"/>
        <w:rPr>
          <w:b/>
          <w:bCs/>
          <w:sz w:val="20"/>
          <w:szCs w:val="20"/>
        </w:rPr>
      </w:pPr>
      <w:r w:rsidRPr="00BD58B4">
        <w:rPr>
          <w:b/>
          <w:bCs/>
          <w:sz w:val="20"/>
          <w:szCs w:val="20"/>
        </w:rPr>
        <w:t xml:space="preserve">Our </w:t>
      </w:r>
      <w:r w:rsidR="001C16B6" w:rsidRPr="00BD58B4">
        <w:rPr>
          <w:b/>
          <w:bCs/>
          <w:sz w:val="20"/>
          <w:szCs w:val="20"/>
        </w:rPr>
        <w:t>PSU</w:t>
      </w:r>
      <w:r w:rsidRPr="00BD58B4">
        <w:rPr>
          <w:b/>
          <w:bCs/>
          <w:sz w:val="20"/>
          <w:szCs w:val="20"/>
        </w:rPr>
        <w:t xml:space="preserve"> currently has </w:t>
      </w:r>
      <w:r w:rsidR="00834963" w:rsidRPr="00BD58B4">
        <w:rPr>
          <w:b/>
          <w:bCs/>
          <w:sz w:val="20"/>
          <w:szCs w:val="20"/>
        </w:rPr>
        <w:t>“</w:t>
      </w:r>
      <w:r w:rsidRPr="00BD58B4">
        <w:rPr>
          <w:b/>
          <w:bCs/>
          <w:sz w:val="20"/>
          <w:szCs w:val="20"/>
        </w:rPr>
        <w:t>0</w:t>
      </w:r>
      <w:r w:rsidR="00834963" w:rsidRPr="00BD58B4">
        <w:rPr>
          <w:b/>
          <w:bCs/>
          <w:sz w:val="20"/>
          <w:szCs w:val="20"/>
        </w:rPr>
        <w:t>”</w:t>
      </w:r>
      <w:r w:rsidRPr="00BD58B4">
        <w:rPr>
          <w:b/>
          <w:bCs/>
          <w:sz w:val="20"/>
          <w:szCs w:val="20"/>
        </w:rPr>
        <w:t xml:space="preserve"> students enrolled. </w:t>
      </w:r>
      <w:r w:rsidR="00834963" w:rsidRPr="00BD58B4">
        <w:rPr>
          <w:b/>
          <w:bCs/>
          <w:sz w:val="20"/>
          <w:szCs w:val="20"/>
        </w:rPr>
        <w:t xml:space="preserve"> </w:t>
      </w:r>
      <w:r w:rsidRPr="00BD58B4">
        <w:rPr>
          <w:b/>
          <w:bCs/>
          <w:sz w:val="20"/>
          <w:szCs w:val="20"/>
        </w:rPr>
        <w:t>Should we still apply for funding in case a student experiences a change in status?</w:t>
      </w:r>
    </w:p>
    <w:p w14:paraId="47843047" w14:textId="568ABBC0" w:rsidR="00D46462" w:rsidRPr="00BD58B4" w:rsidRDefault="000A42E0" w:rsidP="00BD58B4">
      <w:pPr>
        <w:pStyle w:val="NormalWeb"/>
        <w:shd w:val="clear" w:color="auto" w:fill="FFFFFF"/>
        <w:spacing w:before="0" w:beforeAutospacing="0" w:after="0" w:afterAutospacing="0"/>
        <w:jc w:val="both"/>
        <w:rPr>
          <w:rFonts w:asciiTheme="minorHAnsi" w:eastAsiaTheme="minorHAnsi" w:hAnsiTheme="minorHAnsi" w:cstheme="minorBidi"/>
          <w:color w:val="2F5496" w:themeColor="accent1" w:themeShade="BF"/>
          <w:sz w:val="20"/>
          <w:szCs w:val="20"/>
        </w:rPr>
      </w:pPr>
      <w:r w:rsidRPr="00BD58B4">
        <w:rPr>
          <w:rFonts w:asciiTheme="minorHAnsi" w:eastAsiaTheme="minorHAnsi" w:hAnsiTheme="minorHAnsi" w:cstheme="minorBidi"/>
          <w:color w:val="2F5496" w:themeColor="accent1" w:themeShade="BF"/>
          <w:sz w:val="20"/>
          <w:szCs w:val="20"/>
        </w:rPr>
        <w:t>Any PSU who meet</w:t>
      </w:r>
      <w:r w:rsidR="00EA7FA8" w:rsidRPr="00BD58B4">
        <w:rPr>
          <w:rFonts w:asciiTheme="minorHAnsi" w:eastAsiaTheme="minorHAnsi" w:hAnsiTheme="minorHAnsi" w:cstheme="minorBidi"/>
          <w:color w:val="2F5496" w:themeColor="accent1" w:themeShade="BF"/>
          <w:sz w:val="20"/>
          <w:szCs w:val="20"/>
        </w:rPr>
        <w:t>s</w:t>
      </w:r>
      <w:r w:rsidRPr="00BD58B4">
        <w:rPr>
          <w:rFonts w:asciiTheme="minorHAnsi" w:eastAsiaTheme="minorHAnsi" w:hAnsiTheme="minorHAnsi" w:cstheme="minorBidi"/>
          <w:color w:val="2F5496" w:themeColor="accent1" w:themeShade="BF"/>
          <w:sz w:val="20"/>
          <w:szCs w:val="20"/>
        </w:rPr>
        <w:t xml:space="preserve"> eligibility requirements</w:t>
      </w:r>
      <w:r w:rsidR="004C40F5" w:rsidRPr="00BD58B4">
        <w:rPr>
          <w:rFonts w:asciiTheme="minorHAnsi" w:eastAsiaTheme="minorHAnsi" w:hAnsiTheme="minorHAnsi" w:cstheme="minorBidi"/>
          <w:color w:val="2F5496" w:themeColor="accent1" w:themeShade="BF"/>
          <w:sz w:val="20"/>
          <w:szCs w:val="20"/>
        </w:rPr>
        <w:t xml:space="preserve"> </w:t>
      </w:r>
      <w:r w:rsidRPr="00BD58B4">
        <w:rPr>
          <w:rFonts w:asciiTheme="minorHAnsi" w:eastAsiaTheme="minorHAnsi" w:hAnsiTheme="minorHAnsi" w:cstheme="minorBidi"/>
          <w:color w:val="2F5496" w:themeColor="accent1" w:themeShade="BF"/>
          <w:sz w:val="20"/>
          <w:szCs w:val="20"/>
        </w:rPr>
        <w:t xml:space="preserve">is encouraged to apply for funding to assist </w:t>
      </w:r>
      <w:r w:rsidR="00BD58B4">
        <w:rPr>
          <w:rFonts w:asciiTheme="minorHAnsi" w:eastAsiaTheme="minorHAnsi" w:hAnsiTheme="minorHAnsi" w:cstheme="minorBidi"/>
          <w:color w:val="2F5496" w:themeColor="accent1" w:themeShade="BF"/>
          <w:sz w:val="20"/>
          <w:szCs w:val="20"/>
        </w:rPr>
        <w:t>students who are currently</w:t>
      </w:r>
      <w:r w:rsidRPr="00BD58B4">
        <w:rPr>
          <w:rFonts w:asciiTheme="minorHAnsi" w:eastAsiaTheme="minorHAnsi" w:hAnsiTheme="minorHAnsi" w:cstheme="minorBidi"/>
          <w:color w:val="2F5496" w:themeColor="accent1" w:themeShade="BF"/>
          <w:sz w:val="20"/>
          <w:szCs w:val="20"/>
        </w:rPr>
        <w:t xml:space="preserve"> identified or who may be identified within your </w:t>
      </w:r>
      <w:r w:rsidR="00D46462" w:rsidRPr="00BD58B4">
        <w:rPr>
          <w:rFonts w:asciiTheme="minorHAnsi" w:eastAsiaTheme="minorHAnsi" w:hAnsiTheme="minorHAnsi" w:cstheme="minorBidi"/>
          <w:color w:val="2F5496" w:themeColor="accent1" w:themeShade="BF"/>
          <w:sz w:val="20"/>
          <w:szCs w:val="20"/>
        </w:rPr>
        <w:t>PSU</w:t>
      </w:r>
      <w:r w:rsidRPr="00BD58B4">
        <w:rPr>
          <w:rFonts w:asciiTheme="minorHAnsi" w:eastAsiaTheme="minorHAnsi" w:hAnsiTheme="minorHAnsi" w:cstheme="minorBidi"/>
          <w:color w:val="2F5496" w:themeColor="accent1" w:themeShade="BF"/>
          <w:sz w:val="20"/>
          <w:szCs w:val="20"/>
        </w:rPr>
        <w:t>.</w:t>
      </w:r>
      <w:r w:rsidR="00D46462" w:rsidRPr="00BD58B4">
        <w:rPr>
          <w:rFonts w:asciiTheme="minorHAnsi" w:eastAsiaTheme="minorHAnsi" w:hAnsiTheme="minorHAnsi" w:cstheme="minorBidi"/>
          <w:color w:val="2F5496" w:themeColor="accent1" w:themeShade="BF"/>
          <w:sz w:val="20"/>
          <w:szCs w:val="20"/>
        </w:rPr>
        <w:t xml:space="preserve">  The funding amount for a PSU has been determined by a federal formula to streamline the grant award process and to get supports to students experiencing homelessness expeditiously. The </w:t>
      </w:r>
      <w:r w:rsidR="00BD58B4">
        <w:rPr>
          <w:rFonts w:asciiTheme="minorHAnsi" w:eastAsiaTheme="minorHAnsi" w:hAnsiTheme="minorHAnsi" w:cstheme="minorBidi"/>
          <w:color w:val="2F5496" w:themeColor="accent1" w:themeShade="BF"/>
          <w:sz w:val="20"/>
          <w:szCs w:val="20"/>
        </w:rPr>
        <w:t>U.S. Department of Education determined the formula</w:t>
      </w:r>
      <w:r w:rsidR="00D46462" w:rsidRPr="00BD58B4">
        <w:rPr>
          <w:rFonts w:asciiTheme="minorHAnsi" w:eastAsiaTheme="minorHAnsi" w:hAnsiTheme="minorHAnsi" w:cstheme="minorBidi"/>
          <w:color w:val="2F5496" w:themeColor="accent1" w:themeShade="BF"/>
          <w:sz w:val="20"/>
          <w:szCs w:val="20"/>
        </w:rPr>
        <w:t>.</w:t>
      </w:r>
    </w:p>
    <w:p w14:paraId="353CEADC" w14:textId="1CDC8D54" w:rsidR="00D46462" w:rsidRPr="00BD58B4" w:rsidRDefault="00D46462" w:rsidP="00BD58B4">
      <w:pPr>
        <w:pStyle w:val="NormalWeb"/>
        <w:shd w:val="clear" w:color="auto" w:fill="FFFFFF"/>
        <w:spacing w:before="0" w:beforeAutospacing="0" w:after="0" w:afterAutospacing="0"/>
        <w:jc w:val="both"/>
        <w:rPr>
          <w:rFonts w:asciiTheme="minorHAnsi" w:eastAsiaTheme="minorHAnsi" w:hAnsiTheme="minorHAnsi" w:cstheme="minorBidi"/>
          <w:color w:val="2F5496" w:themeColor="accent1" w:themeShade="BF"/>
          <w:sz w:val="20"/>
          <w:szCs w:val="20"/>
        </w:rPr>
      </w:pPr>
      <w:r w:rsidRPr="00BD58B4">
        <w:rPr>
          <w:rFonts w:asciiTheme="minorHAnsi" w:eastAsiaTheme="minorHAnsi" w:hAnsiTheme="minorHAnsi" w:cstheme="minorBidi"/>
          <w:color w:val="2F5496" w:themeColor="accent1" w:themeShade="BF"/>
          <w:sz w:val="20"/>
          <w:szCs w:val="20"/>
        </w:rPr>
        <w:t>The American Rescue Plan (</w:t>
      </w:r>
      <w:r w:rsidRPr="00BD58B4">
        <w:rPr>
          <w:rFonts w:asciiTheme="minorHAnsi" w:eastAsiaTheme="minorHAnsi" w:hAnsiTheme="minorHAnsi" w:cstheme="minorBidi"/>
          <w:b/>
          <w:bCs/>
          <w:color w:val="2F5496" w:themeColor="accent1" w:themeShade="BF"/>
          <w:sz w:val="20"/>
          <w:szCs w:val="20"/>
        </w:rPr>
        <w:t>ARP</w:t>
      </w:r>
      <w:r w:rsidRPr="00BD58B4">
        <w:rPr>
          <w:rFonts w:asciiTheme="minorHAnsi" w:eastAsiaTheme="minorHAnsi" w:hAnsiTheme="minorHAnsi" w:cstheme="minorBidi"/>
          <w:color w:val="2F5496" w:themeColor="accent1" w:themeShade="BF"/>
          <w:sz w:val="20"/>
          <w:szCs w:val="20"/>
        </w:rPr>
        <w:t xml:space="preserve">) funding provided to NC has been allocated to PSUs based on the formula used for the district’s allocation under Title I, Part </w:t>
      </w:r>
      <w:r w:rsidR="009D58A8" w:rsidRPr="00BD58B4">
        <w:rPr>
          <w:rFonts w:asciiTheme="minorHAnsi" w:eastAsiaTheme="minorHAnsi" w:hAnsiTheme="minorHAnsi" w:cstheme="minorBidi"/>
          <w:color w:val="2F5496" w:themeColor="accent1" w:themeShade="BF"/>
          <w:sz w:val="20"/>
          <w:szCs w:val="20"/>
        </w:rPr>
        <w:t>A,</w:t>
      </w:r>
      <w:r w:rsidRPr="00BD58B4">
        <w:rPr>
          <w:rFonts w:asciiTheme="minorHAnsi" w:eastAsiaTheme="minorHAnsi" w:hAnsiTheme="minorHAnsi" w:cstheme="minorBidi"/>
          <w:color w:val="2F5496" w:themeColor="accent1" w:themeShade="BF"/>
          <w:sz w:val="20"/>
          <w:szCs w:val="20"/>
        </w:rPr>
        <w:t xml:space="preserve"> and the number of identified homeless children and youth in either the 2018-2019SY or the 2019-2020SY, whichever is greater.</w:t>
      </w:r>
    </w:p>
    <w:p w14:paraId="7D0AD64E" w14:textId="0A792CCC" w:rsidR="00D46462" w:rsidRPr="00BD58B4" w:rsidRDefault="001C16B6" w:rsidP="00BD58B4">
      <w:pPr>
        <w:pStyle w:val="NormalWeb"/>
        <w:shd w:val="clear" w:color="auto" w:fill="FFFFFF"/>
        <w:spacing w:before="0" w:beforeAutospacing="0" w:after="0" w:afterAutospacing="0"/>
        <w:jc w:val="both"/>
        <w:rPr>
          <w:rFonts w:asciiTheme="minorHAnsi" w:eastAsiaTheme="minorHAnsi" w:hAnsiTheme="minorHAnsi" w:cstheme="minorBidi"/>
          <w:color w:val="2F5496" w:themeColor="accent1" w:themeShade="BF"/>
          <w:sz w:val="20"/>
          <w:szCs w:val="20"/>
        </w:rPr>
      </w:pPr>
      <w:r w:rsidRPr="00BD58B4">
        <w:rPr>
          <w:rFonts w:asciiTheme="minorHAnsi" w:eastAsiaTheme="minorHAnsi" w:hAnsiTheme="minorHAnsi" w:cstheme="minorBidi"/>
          <w:color w:val="2F5496" w:themeColor="accent1" w:themeShade="BF"/>
          <w:sz w:val="20"/>
          <w:szCs w:val="20"/>
        </w:rPr>
        <w:t>PSU</w:t>
      </w:r>
      <w:r w:rsidR="00D46462" w:rsidRPr="00BD58B4">
        <w:rPr>
          <w:rFonts w:asciiTheme="minorHAnsi" w:eastAsiaTheme="minorHAnsi" w:hAnsiTheme="minorHAnsi" w:cstheme="minorBidi"/>
          <w:color w:val="2F5496" w:themeColor="accent1" w:themeShade="BF"/>
          <w:sz w:val="20"/>
          <w:szCs w:val="20"/>
        </w:rPr>
        <w:t xml:space="preserve">s that generate more than $5,000 are considered stand-alone districts but may serve as a fiscal agent to </w:t>
      </w:r>
      <w:r w:rsidRPr="00BD58B4">
        <w:rPr>
          <w:rFonts w:asciiTheme="minorHAnsi" w:eastAsiaTheme="minorHAnsi" w:hAnsiTheme="minorHAnsi" w:cstheme="minorBidi"/>
          <w:color w:val="2F5496" w:themeColor="accent1" w:themeShade="BF"/>
          <w:sz w:val="20"/>
          <w:szCs w:val="20"/>
        </w:rPr>
        <w:t>PSU</w:t>
      </w:r>
      <w:r w:rsidR="00D46462" w:rsidRPr="00BD58B4">
        <w:rPr>
          <w:rFonts w:asciiTheme="minorHAnsi" w:eastAsiaTheme="minorHAnsi" w:hAnsiTheme="minorHAnsi" w:cstheme="minorBidi"/>
          <w:color w:val="2F5496" w:themeColor="accent1" w:themeShade="BF"/>
          <w:sz w:val="20"/>
          <w:szCs w:val="20"/>
        </w:rPr>
        <w:t xml:space="preserve">s </w:t>
      </w:r>
      <w:r w:rsidR="00BD58B4">
        <w:rPr>
          <w:rFonts w:asciiTheme="minorHAnsi" w:eastAsiaTheme="minorHAnsi" w:hAnsiTheme="minorHAnsi" w:cstheme="minorBidi"/>
          <w:color w:val="2F5496" w:themeColor="accent1" w:themeShade="BF"/>
          <w:sz w:val="20"/>
          <w:szCs w:val="20"/>
        </w:rPr>
        <w:t>that</w:t>
      </w:r>
      <w:r w:rsidR="00D46462" w:rsidRPr="00BD58B4">
        <w:rPr>
          <w:rFonts w:asciiTheme="minorHAnsi" w:eastAsiaTheme="minorHAnsi" w:hAnsiTheme="minorHAnsi" w:cstheme="minorBidi"/>
          <w:color w:val="2F5496" w:themeColor="accent1" w:themeShade="BF"/>
          <w:sz w:val="20"/>
          <w:szCs w:val="20"/>
        </w:rPr>
        <w:t xml:space="preserve"> do not meet their $5,000 threshold requirement.</w:t>
      </w:r>
    </w:p>
    <w:p w14:paraId="6B58620D" w14:textId="68380F96" w:rsidR="000A42E0" w:rsidRPr="00BD58B4" w:rsidRDefault="000A42E0" w:rsidP="00BD58B4">
      <w:pPr>
        <w:contextualSpacing/>
        <w:jc w:val="both"/>
        <w:rPr>
          <w:color w:val="2F5496" w:themeColor="accent1" w:themeShade="BF"/>
          <w:sz w:val="20"/>
          <w:szCs w:val="20"/>
        </w:rPr>
      </w:pPr>
    </w:p>
    <w:p w14:paraId="0F32CFD1" w14:textId="65B8560A" w:rsidR="000A42E0" w:rsidRPr="00BD58B4" w:rsidRDefault="000A42E0" w:rsidP="00BD58B4">
      <w:pPr>
        <w:spacing w:after="0"/>
        <w:contextualSpacing/>
        <w:jc w:val="both"/>
        <w:rPr>
          <w:b/>
          <w:bCs/>
          <w:sz w:val="20"/>
          <w:szCs w:val="20"/>
        </w:rPr>
      </w:pPr>
      <w:r w:rsidRPr="00BD58B4">
        <w:rPr>
          <w:b/>
          <w:bCs/>
          <w:sz w:val="20"/>
          <w:szCs w:val="20"/>
        </w:rPr>
        <w:t xml:space="preserve">If we receive Title I funding, and we set aside funds but do not meet the requirements of students to receive Homeless funds, are we required to join another </w:t>
      </w:r>
      <w:r w:rsidR="001C16B6" w:rsidRPr="00BD58B4">
        <w:rPr>
          <w:b/>
          <w:bCs/>
          <w:sz w:val="20"/>
          <w:szCs w:val="20"/>
        </w:rPr>
        <w:t>PSU</w:t>
      </w:r>
      <w:r w:rsidRPr="00BD58B4">
        <w:rPr>
          <w:b/>
          <w:bCs/>
          <w:sz w:val="20"/>
          <w:szCs w:val="20"/>
        </w:rPr>
        <w:t>?</w:t>
      </w:r>
    </w:p>
    <w:p w14:paraId="7D8351EC" w14:textId="2A455DBF" w:rsidR="007D346F" w:rsidRPr="00BD58B4" w:rsidRDefault="007D346F" w:rsidP="00BD58B4">
      <w:pPr>
        <w:pStyle w:val="NormalWeb"/>
        <w:shd w:val="clear" w:color="auto" w:fill="FFFFFF"/>
        <w:spacing w:before="0" w:beforeAutospacing="0" w:after="0" w:afterAutospacing="0"/>
        <w:jc w:val="both"/>
        <w:rPr>
          <w:rFonts w:ascii="Arial" w:hAnsi="Arial" w:cs="Arial"/>
          <w:color w:val="222222"/>
          <w:sz w:val="20"/>
          <w:szCs w:val="20"/>
        </w:rPr>
      </w:pPr>
      <w:r w:rsidRPr="00BD58B4">
        <w:rPr>
          <w:rFonts w:asciiTheme="minorHAnsi" w:eastAsiaTheme="minorHAnsi" w:hAnsiTheme="minorHAnsi" w:cstheme="minorBidi"/>
          <w:color w:val="2F5496" w:themeColor="accent1" w:themeShade="BF"/>
          <w:sz w:val="20"/>
          <w:szCs w:val="20"/>
        </w:rPr>
        <w:t xml:space="preserve">PSUs allocated less than $5,000 in funding as stipulated by the formula are not eligible for the funding on their own. </w:t>
      </w:r>
      <w:r w:rsidR="001344C5" w:rsidRPr="00BD58B4">
        <w:rPr>
          <w:rFonts w:asciiTheme="minorHAnsi" w:eastAsiaTheme="minorHAnsi" w:hAnsiTheme="minorHAnsi" w:cstheme="minorBidi"/>
          <w:color w:val="2F5496" w:themeColor="accent1" w:themeShade="BF"/>
          <w:sz w:val="20"/>
          <w:szCs w:val="20"/>
        </w:rPr>
        <w:t xml:space="preserve"> While not required to form a consortium, </w:t>
      </w:r>
      <w:proofErr w:type="gramStart"/>
      <w:r w:rsidR="001344C5" w:rsidRPr="00BD58B4">
        <w:rPr>
          <w:rFonts w:asciiTheme="minorHAnsi" w:eastAsiaTheme="minorHAnsi" w:hAnsiTheme="minorHAnsi" w:cstheme="minorBidi"/>
          <w:color w:val="2F5496" w:themeColor="accent1" w:themeShade="BF"/>
          <w:sz w:val="20"/>
          <w:szCs w:val="20"/>
        </w:rPr>
        <w:t>in order t</w:t>
      </w:r>
      <w:r w:rsidRPr="00BD58B4">
        <w:rPr>
          <w:rFonts w:asciiTheme="minorHAnsi" w:eastAsiaTheme="minorHAnsi" w:hAnsiTheme="minorHAnsi" w:cstheme="minorBidi"/>
          <w:color w:val="2F5496" w:themeColor="accent1" w:themeShade="BF"/>
          <w:sz w:val="20"/>
          <w:szCs w:val="20"/>
        </w:rPr>
        <w:t>o</w:t>
      </w:r>
      <w:proofErr w:type="gramEnd"/>
      <w:r w:rsidRPr="00BD58B4">
        <w:rPr>
          <w:rFonts w:asciiTheme="minorHAnsi" w:eastAsiaTheme="minorHAnsi" w:hAnsiTheme="minorHAnsi" w:cstheme="minorBidi"/>
          <w:color w:val="2F5496" w:themeColor="accent1" w:themeShade="BF"/>
          <w:sz w:val="20"/>
          <w:szCs w:val="20"/>
        </w:rPr>
        <w:t xml:space="preserve"> receive </w:t>
      </w:r>
      <w:r w:rsidRPr="00BD58B4">
        <w:rPr>
          <w:rFonts w:asciiTheme="minorHAnsi" w:eastAsiaTheme="minorHAnsi" w:hAnsiTheme="minorHAnsi" w:cstheme="minorBidi"/>
          <w:b/>
          <w:bCs/>
          <w:color w:val="2F5496" w:themeColor="accent1" w:themeShade="BF"/>
          <w:sz w:val="20"/>
          <w:szCs w:val="20"/>
        </w:rPr>
        <w:t xml:space="preserve">ARP </w:t>
      </w:r>
      <w:r w:rsidRPr="00BD58B4">
        <w:rPr>
          <w:rFonts w:asciiTheme="minorHAnsi" w:eastAsiaTheme="minorHAnsi" w:hAnsiTheme="minorHAnsi" w:cstheme="minorBidi"/>
          <w:color w:val="2F5496" w:themeColor="accent1" w:themeShade="BF"/>
          <w:sz w:val="20"/>
          <w:szCs w:val="20"/>
        </w:rPr>
        <w:t>Homeless II funding, the PSU must join a consortium of PSUs in which the sum of its members' allocations meets the $5,000 threshold.</w:t>
      </w:r>
      <w:r w:rsidR="008C6C64" w:rsidRPr="00BD58B4">
        <w:rPr>
          <w:rFonts w:asciiTheme="minorHAnsi" w:eastAsiaTheme="minorHAnsi" w:hAnsiTheme="minorHAnsi" w:cstheme="minorBidi"/>
          <w:color w:val="2F5496" w:themeColor="accent1" w:themeShade="BF"/>
          <w:sz w:val="20"/>
          <w:szCs w:val="20"/>
        </w:rPr>
        <w:t xml:space="preserve">  </w:t>
      </w:r>
    </w:p>
    <w:p w14:paraId="7E78DB55" w14:textId="58D881CC" w:rsidR="007D346F" w:rsidRPr="00BD58B4" w:rsidRDefault="007D346F" w:rsidP="00BD58B4">
      <w:pPr>
        <w:pStyle w:val="NormalWeb"/>
        <w:shd w:val="clear" w:color="auto" w:fill="FFFFFF"/>
        <w:spacing w:before="0" w:beforeAutospacing="0" w:after="0" w:afterAutospacing="0"/>
        <w:jc w:val="both"/>
        <w:rPr>
          <w:rFonts w:asciiTheme="minorHAnsi" w:eastAsiaTheme="minorHAnsi" w:hAnsiTheme="minorHAnsi" w:cstheme="minorBidi"/>
          <w:color w:val="2F5496" w:themeColor="accent1" w:themeShade="BF"/>
          <w:sz w:val="20"/>
          <w:szCs w:val="20"/>
        </w:rPr>
      </w:pPr>
    </w:p>
    <w:p w14:paraId="53EC4B99" w14:textId="62C8E767" w:rsidR="000B328D" w:rsidRPr="00BD58B4" w:rsidRDefault="000B328D" w:rsidP="00BD58B4">
      <w:pPr>
        <w:pStyle w:val="NormalWeb"/>
        <w:shd w:val="clear" w:color="auto" w:fill="FFFFFF"/>
        <w:spacing w:before="0" w:beforeAutospacing="0" w:after="0" w:afterAutospacing="0"/>
        <w:jc w:val="both"/>
        <w:rPr>
          <w:rFonts w:asciiTheme="minorHAnsi" w:eastAsiaTheme="minorHAnsi" w:hAnsiTheme="minorHAnsi" w:cstheme="minorBidi"/>
          <w:b/>
          <w:bCs/>
          <w:sz w:val="20"/>
          <w:szCs w:val="20"/>
        </w:rPr>
      </w:pPr>
      <w:r w:rsidRPr="00BD58B4">
        <w:rPr>
          <w:rFonts w:asciiTheme="minorHAnsi" w:eastAsiaTheme="minorHAnsi" w:hAnsiTheme="minorHAnsi" w:cstheme="minorBidi"/>
          <w:b/>
          <w:bCs/>
          <w:sz w:val="20"/>
          <w:szCs w:val="20"/>
        </w:rPr>
        <w:t>What comprises a consortium?</w:t>
      </w:r>
    </w:p>
    <w:p w14:paraId="20ED99C4" w14:textId="61073B09" w:rsidR="000C429D" w:rsidRPr="00BD58B4" w:rsidRDefault="000C429D" w:rsidP="00BD58B4">
      <w:pPr>
        <w:pStyle w:val="NormalWeb"/>
        <w:shd w:val="clear" w:color="auto" w:fill="FFFFFF"/>
        <w:spacing w:before="0" w:beforeAutospacing="0" w:after="0" w:afterAutospacing="0"/>
        <w:jc w:val="both"/>
        <w:rPr>
          <w:rFonts w:asciiTheme="minorHAnsi" w:eastAsiaTheme="minorHAnsi" w:hAnsiTheme="minorHAnsi" w:cstheme="minorBidi"/>
          <w:color w:val="2F5496" w:themeColor="accent1" w:themeShade="BF"/>
          <w:sz w:val="20"/>
          <w:szCs w:val="20"/>
        </w:rPr>
      </w:pPr>
      <w:r w:rsidRPr="00BD58B4">
        <w:rPr>
          <w:rFonts w:asciiTheme="minorHAnsi" w:eastAsiaTheme="minorHAnsi" w:hAnsiTheme="minorHAnsi" w:cstheme="minorBidi"/>
          <w:color w:val="2F5496" w:themeColor="accent1" w:themeShade="BF"/>
          <w:sz w:val="20"/>
          <w:szCs w:val="20"/>
        </w:rPr>
        <w:t>A c</w:t>
      </w:r>
      <w:r w:rsidRPr="00BD58B4">
        <w:rPr>
          <w:rFonts w:asciiTheme="minorHAnsi" w:eastAsiaTheme="minorHAnsi" w:hAnsiTheme="minorHAnsi" w:cstheme="minorBidi"/>
          <w:b/>
          <w:bCs/>
          <w:color w:val="2F5496" w:themeColor="accent1" w:themeShade="BF"/>
          <w:sz w:val="20"/>
          <w:szCs w:val="20"/>
        </w:rPr>
        <w:t>onsortium</w:t>
      </w:r>
      <w:r w:rsidRPr="00BD58B4">
        <w:rPr>
          <w:rFonts w:asciiTheme="minorHAnsi" w:eastAsiaTheme="minorHAnsi" w:hAnsiTheme="minorHAnsi" w:cstheme="minorBidi"/>
          <w:color w:val="2F5496" w:themeColor="accent1" w:themeShade="BF"/>
          <w:sz w:val="20"/>
          <w:szCs w:val="20"/>
        </w:rPr>
        <w:t> </w:t>
      </w:r>
      <w:r w:rsidR="00BD58B4">
        <w:rPr>
          <w:rFonts w:asciiTheme="minorHAnsi" w:eastAsiaTheme="minorHAnsi" w:hAnsiTheme="minorHAnsi" w:cstheme="minorBidi"/>
          <w:color w:val="2F5496" w:themeColor="accent1" w:themeShade="BF"/>
          <w:sz w:val="20"/>
          <w:szCs w:val="20"/>
        </w:rPr>
        <w:t>comprises</w:t>
      </w:r>
      <w:r w:rsidRPr="00BD58B4">
        <w:rPr>
          <w:rFonts w:asciiTheme="minorHAnsi" w:eastAsiaTheme="minorHAnsi" w:hAnsiTheme="minorHAnsi" w:cstheme="minorBidi"/>
          <w:color w:val="2F5496" w:themeColor="accent1" w:themeShade="BF"/>
          <w:sz w:val="20"/>
          <w:szCs w:val="20"/>
        </w:rPr>
        <w:t xml:space="preserve"> two or more qualifying districts that collaborate to meet the needs of homeless students within each PSU of the consortium. To form consortia, districts must have one PSU be the </w:t>
      </w:r>
      <w:r w:rsidRPr="00BD58B4">
        <w:rPr>
          <w:rFonts w:asciiTheme="minorHAnsi" w:eastAsiaTheme="minorHAnsi" w:hAnsiTheme="minorHAnsi" w:cstheme="minorBidi"/>
          <w:b/>
          <w:bCs/>
          <w:color w:val="2F5496" w:themeColor="accent1" w:themeShade="BF"/>
          <w:sz w:val="20"/>
          <w:szCs w:val="20"/>
        </w:rPr>
        <w:t>fiscal agent</w:t>
      </w:r>
      <w:r w:rsidRPr="00BD58B4">
        <w:rPr>
          <w:rFonts w:asciiTheme="minorHAnsi" w:eastAsiaTheme="minorHAnsi" w:hAnsiTheme="minorHAnsi" w:cstheme="minorBidi"/>
          <w:color w:val="2F5496" w:themeColor="accent1" w:themeShade="BF"/>
          <w:sz w:val="20"/>
          <w:szCs w:val="20"/>
        </w:rPr>
        <w:t xml:space="preserve">. The PSU that is the fiscal agent will be responsible for managing all the member PSUs </w:t>
      </w:r>
      <w:r w:rsidRPr="00BD58B4">
        <w:rPr>
          <w:rFonts w:asciiTheme="minorHAnsi" w:eastAsiaTheme="minorHAnsi" w:hAnsiTheme="minorHAnsi" w:cstheme="minorBidi"/>
          <w:b/>
          <w:bCs/>
          <w:color w:val="2F5496" w:themeColor="accent1" w:themeShade="BF"/>
          <w:sz w:val="20"/>
          <w:szCs w:val="20"/>
        </w:rPr>
        <w:t>ARP</w:t>
      </w:r>
      <w:r w:rsidRPr="00BD58B4">
        <w:rPr>
          <w:rFonts w:asciiTheme="minorHAnsi" w:eastAsiaTheme="minorHAnsi" w:hAnsiTheme="minorHAnsi" w:cstheme="minorBidi"/>
          <w:color w:val="2F5496" w:themeColor="accent1" w:themeShade="BF"/>
          <w:sz w:val="20"/>
          <w:szCs w:val="20"/>
        </w:rPr>
        <w:t xml:space="preserve"> Homeless funds, reporting on the funding</w:t>
      </w:r>
      <w:r w:rsidR="00BD58B4">
        <w:rPr>
          <w:rFonts w:asciiTheme="minorHAnsi" w:eastAsiaTheme="minorHAnsi" w:hAnsiTheme="minorHAnsi" w:cstheme="minorBidi"/>
          <w:color w:val="2F5496" w:themeColor="accent1" w:themeShade="BF"/>
          <w:sz w:val="20"/>
          <w:szCs w:val="20"/>
        </w:rPr>
        <w:t>,</w:t>
      </w:r>
      <w:r w:rsidRPr="00BD58B4">
        <w:rPr>
          <w:rFonts w:asciiTheme="minorHAnsi" w:eastAsiaTheme="minorHAnsi" w:hAnsiTheme="minorHAnsi" w:cstheme="minorBidi"/>
          <w:color w:val="2F5496" w:themeColor="accent1" w:themeShade="BF"/>
          <w:sz w:val="20"/>
          <w:szCs w:val="20"/>
        </w:rPr>
        <w:t xml:space="preserve"> and reimbursing funds to each member accordingly.</w:t>
      </w:r>
    </w:p>
    <w:p w14:paraId="7AAC210E" w14:textId="77777777" w:rsidR="000A42E0" w:rsidRPr="00BD58B4" w:rsidRDefault="000A42E0" w:rsidP="00BD58B4">
      <w:pPr>
        <w:contextualSpacing/>
        <w:jc w:val="both"/>
        <w:rPr>
          <w:b/>
          <w:bCs/>
          <w:sz w:val="20"/>
          <w:szCs w:val="20"/>
        </w:rPr>
      </w:pPr>
    </w:p>
    <w:p w14:paraId="2EF0B3A8" w14:textId="77777777" w:rsidR="000A42E0" w:rsidRPr="00BD58B4" w:rsidRDefault="000A42E0" w:rsidP="00BD58B4">
      <w:pPr>
        <w:spacing w:after="0"/>
        <w:contextualSpacing/>
        <w:jc w:val="both"/>
        <w:rPr>
          <w:b/>
          <w:bCs/>
          <w:sz w:val="20"/>
          <w:szCs w:val="20"/>
        </w:rPr>
      </w:pPr>
      <w:r w:rsidRPr="00BD58B4">
        <w:rPr>
          <w:b/>
          <w:bCs/>
          <w:sz w:val="20"/>
          <w:szCs w:val="20"/>
        </w:rPr>
        <w:t>Will we receive a copy of the slides?</w:t>
      </w:r>
    </w:p>
    <w:p w14:paraId="6328F5E4" w14:textId="14A9021D" w:rsidR="000A42E0" w:rsidRPr="00BD58B4" w:rsidRDefault="000A42E0" w:rsidP="00BD58B4">
      <w:pPr>
        <w:spacing w:after="0"/>
        <w:contextualSpacing/>
        <w:jc w:val="both"/>
        <w:rPr>
          <w:color w:val="2F5496" w:themeColor="accent1" w:themeShade="BF"/>
          <w:sz w:val="20"/>
          <w:szCs w:val="20"/>
        </w:rPr>
      </w:pPr>
      <w:r w:rsidRPr="00BD58B4">
        <w:rPr>
          <w:color w:val="2F5496" w:themeColor="accent1" w:themeShade="BF"/>
          <w:sz w:val="20"/>
          <w:szCs w:val="20"/>
        </w:rPr>
        <w:t xml:space="preserve">A copy of the presentation slides was emailed to all </w:t>
      </w:r>
      <w:r w:rsidR="00BD58B4">
        <w:rPr>
          <w:color w:val="2F5496" w:themeColor="accent1" w:themeShade="BF"/>
          <w:sz w:val="20"/>
          <w:szCs w:val="20"/>
        </w:rPr>
        <w:t>webinar participants</w:t>
      </w:r>
      <w:r w:rsidR="007E2703" w:rsidRPr="00BD58B4">
        <w:rPr>
          <w:color w:val="2F5496" w:themeColor="accent1" w:themeShade="BF"/>
          <w:sz w:val="20"/>
          <w:szCs w:val="20"/>
        </w:rPr>
        <w:t xml:space="preserve"> and is available in the NCDPI Resources section.</w:t>
      </w:r>
    </w:p>
    <w:p w14:paraId="48EC5E76" w14:textId="27E95C1A" w:rsidR="000A42E0" w:rsidRPr="00BD58B4" w:rsidRDefault="000A42E0" w:rsidP="00BD58B4">
      <w:pPr>
        <w:spacing w:after="0"/>
        <w:contextualSpacing/>
        <w:jc w:val="both"/>
        <w:rPr>
          <w:color w:val="2F5496" w:themeColor="accent1" w:themeShade="BF"/>
          <w:sz w:val="20"/>
          <w:szCs w:val="20"/>
        </w:rPr>
      </w:pPr>
    </w:p>
    <w:p w14:paraId="3E7F103C" w14:textId="67CB1F06" w:rsidR="00A64415" w:rsidRPr="00BD58B4" w:rsidRDefault="00A64415" w:rsidP="00BD58B4">
      <w:pPr>
        <w:spacing w:after="0"/>
        <w:contextualSpacing/>
        <w:jc w:val="both"/>
        <w:rPr>
          <w:b/>
          <w:bCs/>
          <w:sz w:val="20"/>
          <w:szCs w:val="20"/>
        </w:rPr>
      </w:pPr>
    </w:p>
    <w:p w14:paraId="1414ED00" w14:textId="77777777" w:rsidR="00751E72" w:rsidRPr="00BD58B4" w:rsidRDefault="00751E72" w:rsidP="00BD58B4">
      <w:pPr>
        <w:spacing w:after="0"/>
        <w:contextualSpacing/>
        <w:jc w:val="both"/>
        <w:rPr>
          <w:b/>
          <w:bCs/>
          <w:sz w:val="20"/>
          <w:szCs w:val="20"/>
        </w:rPr>
      </w:pPr>
      <w:r w:rsidRPr="00BD58B4">
        <w:rPr>
          <w:b/>
          <w:bCs/>
          <w:sz w:val="20"/>
          <w:szCs w:val="20"/>
        </w:rPr>
        <w:lastRenderedPageBreak/>
        <w:t>Is there a supplant versus supplement rule within PRC 184?</w:t>
      </w:r>
    </w:p>
    <w:p w14:paraId="5F080FB6" w14:textId="605CF717" w:rsidR="00751E72" w:rsidRPr="00BD58B4" w:rsidRDefault="00751E72" w:rsidP="00BD58B4">
      <w:pPr>
        <w:spacing w:after="0"/>
        <w:contextualSpacing/>
        <w:jc w:val="both"/>
        <w:rPr>
          <w:color w:val="2F5496" w:themeColor="accent1" w:themeShade="BF"/>
          <w:sz w:val="20"/>
          <w:szCs w:val="20"/>
        </w:rPr>
      </w:pPr>
      <w:r w:rsidRPr="00BD58B4">
        <w:rPr>
          <w:color w:val="2F5496" w:themeColor="accent1" w:themeShade="BF"/>
          <w:sz w:val="20"/>
          <w:szCs w:val="20"/>
        </w:rPr>
        <w:t>According to the</w:t>
      </w:r>
      <w:r w:rsidRPr="00BD58B4">
        <w:rPr>
          <w:sz w:val="20"/>
          <w:szCs w:val="20"/>
        </w:rPr>
        <w:t xml:space="preserve"> </w:t>
      </w:r>
      <w:hyperlink r:id="rId8" w:history="1">
        <w:r w:rsidRPr="00BD58B4">
          <w:rPr>
            <w:rStyle w:val="Hyperlink"/>
            <w:sz w:val="20"/>
            <w:szCs w:val="20"/>
          </w:rPr>
          <w:t>current OESE FAQ</w:t>
        </w:r>
      </w:hyperlink>
      <w:r w:rsidRPr="00BD58B4">
        <w:rPr>
          <w:sz w:val="20"/>
          <w:szCs w:val="20"/>
        </w:rPr>
        <w:t>, t</w:t>
      </w:r>
      <w:r w:rsidRPr="00BD58B4">
        <w:rPr>
          <w:color w:val="2F5496" w:themeColor="accent1" w:themeShade="BF"/>
          <w:sz w:val="20"/>
          <w:szCs w:val="20"/>
        </w:rPr>
        <w:t xml:space="preserve">he </w:t>
      </w:r>
      <w:r w:rsidRPr="00BD58B4">
        <w:rPr>
          <w:b/>
          <w:bCs/>
          <w:color w:val="2F5496" w:themeColor="accent1" w:themeShade="BF"/>
          <w:sz w:val="20"/>
          <w:szCs w:val="20"/>
        </w:rPr>
        <w:t>ARP-HCY</w:t>
      </w:r>
      <w:r w:rsidRPr="00BD58B4">
        <w:rPr>
          <w:color w:val="2F5496" w:themeColor="accent1" w:themeShade="BF"/>
          <w:sz w:val="20"/>
          <w:szCs w:val="20"/>
        </w:rPr>
        <w:t xml:space="preserve"> program does not have a “supplement not supplant” requirement and therefore is subject to an unrestricted indirect cost rate. (</w:t>
      </w:r>
      <w:r w:rsidRPr="00BD58B4">
        <w:rPr>
          <w:i/>
          <w:iCs/>
          <w:color w:val="2F5496" w:themeColor="accent1" w:themeShade="BF"/>
          <w:sz w:val="20"/>
          <w:szCs w:val="20"/>
        </w:rPr>
        <w:t>See </w:t>
      </w:r>
      <w:r w:rsidRPr="00BD58B4">
        <w:rPr>
          <w:color w:val="2F5496" w:themeColor="accent1" w:themeShade="BF"/>
          <w:sz w:val="20"/>
          <w:szCs w:val="20"/>
        </w:rPr>
        <w:t>34 C.F.R. § 75.563.)</w:t>
      </w:r>
    </w:p>
    <w:p w14:paraId="7672257C" w14:textId="6D48396B" w:rsidR="00751E72" w:rsidRPr="00BD58B4" w:rsidRDefault="00751E72" w:rsidP="00BD58B4">
      <w:pPr>
        <w:spacing w:after="0"/>
        <w:contextualSpacing/>
        <w:jc w:val="both"/>
        <w:rPr>
          <w:b/>
          <w:bCs/>
          <w:sz w:val="20"/>
          <w:szCs w:val="20"/>
        </w:rPr>
      </w:pPr>
    </w:p>
    <w:p w14:paraId="6B154740" w14:textId="77777777" w:rsidR="00751E72" w:rsidRPr="00BD58B4" w:rsidRDefault="00751E72" w:rsidP="00BD58B4">
      <w:pPr>
        <w:spacing w:after="0"/>
        <w:contextualSpacing/>
        <w:jc w:val="both"/>
        <w:rPr>
          <w:b/>
          <w:bCs/>
          <w:strike/>
          <w:sz w:val="20"/>
          <w:szCs w:val="20"/>
        </w:rPr>
      </w:pPr>
      <w:r w:rsidRPr="00BD58B4">
        <w:rPr>
          <w:b/>
          <w:bCs/>
          <w:sz w:val="20"/>
          <w:szCs w:val="20"/>
        </w:rPr>
        <w:t>What is the timeline for funding?</w:t>
      </w:r>
    </w:p>
    <w:p w14:paraId="0DF1187F" w14:textId="39F3FDD0" w:rsidR="00751E72" w:rsidRPr="00BD58B4" w:rsidRDefault="00751E72" w:rsidP="00BD58B4">
      <w:pPr>
        <w:spacing w:after="0"/>
        <w:contextualSpacing/>
        <w:jc w:val="both"/>
        <w:rPr>
          <w:sz w:val="20"/>
          <w:szCs w:val="20"/>
        </w:rPr>
      </w:pPr>
      <w:r w:rsidRPr="00BD58B4">
        <w:rPr>
          <w:color w:val="2F5496" w:themeColor="accent1" w:themeShade="BF"/>
          <w:sz w:val="20"/>
          <w:szCs w:val="20"/>
        </w:rPr>
        <w:t xml:space="preserve">Retro pay for services and supports specifically conducted to support students and your McKinney-Vento program with your </w:t>
      </w:r>
      <w:r w:rsidRPr="00BD58B4">
        <w:rPr>
          <w:b/>
          <w:bCs/>
          <w:color w:val="2F5496" w:themeColor="accent1" w:themeShade="BF"/>
          <w:sz w:val="20"/>
          <w:szCs w:val="20"/>
        </w:rPr>
        <w:t>ARP</w:t>
      </w:r>
      <w:r w:rsidR="00D4386D" w:rsidRPr="00BD58B4">
        <w:rPr>
          <w:b/>
          <w:bCs/>
          <w:color w:val="2F5496" w:themeColor="accent1" w:themeShade="BF"/>
          <w:sz w:val="20"/>
          <w:szCs w:val="20"/>
        </w:rPr>
        <w:t>-</w:t>
      </w:r>
      <w:r w:rsidRPr="00BD58B4">
        <w:rPr>
          <w:b/>
          <w:bCs/>
          <w:color w:val="2F5496" w:themeColor="accent1" w:themeShade="BF"/>
          <w:sz w:val="20"/>
          <w:szCs w:val="20"/>
        </w:rPr>
        <w:t>HCY</w:t>
      </w:r>
      <w:r w:rsidRPr="00BD58B4">
        <w:rPr>
          <w:color w:val="2F5496" w:themeColor="accent1" w:themeShade="BF"/>
          <w:sz w:val="20"/>
          <w:szCs w:val="20"/>
        </w:rPr>
        <w:t xml:space="preserve"> from the time our President declared a national emergency with the pandemic on March 16 in 2020.  The deadline to spend the funding is September 30, 2024</w:t>
      </w:r>
      <w:r w:rsidRPr="00BD58B4">
        <w:rPr>
          <w:sz w:val="20"/>
          <w:szCs w:val="20"/>
        </w:rPr>
        <w:t>.</w:t>
      </w:r>
    </w:p>
    <w:p w14:paraId="02B482ED" w14:textId="620F7EAF" w:rsidR="00FB42C0" w:rsidRPr="00BD58B4" w:rsidRDefault="00FB42C0" w:rsidP="00BD58B4">
      <w:pPr>
        <w:spacing w:after="0"/>
        <w:contextualSpacing/>
        <w:jc w:val="both"/>
        <w:rPr>
          <w:sz w:val="20"/>
          <w:szCs w:val="20"/>
        </w:rPr>
      </w:pPr>
    </w:p>
    <w:p w14:paraId="389DBA29" w14:textId="77777777" w:rsidR="00FB42C0" w:rsidRPr="00BD58B4" w:rsidRDefault="00FB42C0" w:rsidP="00BD58B4">
      <w:pPr>
        <w:spacing w:after="0"/>
        <w:contextualSpacing/>
        <w:jc w:val="both"/>
        <w:rPr>
          <w:b/>
          <w:bCs/>
          <w:sz w:val="20"/>
          <w:szCs w:val="20"/>
        </w:rPr>
      </w:pPr>
      <w:r w:rsidRPr="00BD58B4">
        <w:rPr>
          <w:b/>
          <w:bCs/>
          <w:sz w:val="20"/>
          <w:szCs w:val="20"/>
        </w:rPr>
        <w:t>How does this funding differ from ARP I – ESSER - EHCY PRC 183? Will one disqualify the other?</w:t>
      </w:r>
    </w:p>
    <w:p w14:paraId="15FB9741" w14:textId="2B6824C9" w:rsidR="00FB42C0" w:rsidRPr="00BD58B4" w:rsidRDefault="00FB42C0" w:rsidP="00BD58B4">
      <w:pPr>
        <w:spacing w:after="0"/>
        <w:contextualSpacing/>
        <w:jc w:val="both"/>
        <w:rPr>
          <w:color w:val="2F5496" w:themeColor="accent1" w:themeShade="BF"/>
          <w:sz w:val="20"/>
          <w:szCs w:val="20"/>
        </w:rPr>
      </w:pPr>
      <w:r w:rsidRPr="00BD58B4">
        <w:rPr>
          <w:color w:val="2F5496" w:themeColor="accent1" w:themeShade="BF"/>
          <w:sz w:val="20"/>
          <w:szCs w:val="20"/>
        </w:rPr>
        <w:t>PRC 183 was the first installment of emergency federal funding to PSUs and was provided to current sub/</w:t>
      </w:r>
      <w:proofErr w:type="gramStart"/>
      <w:r w:rsidRPr="00BD58B4">
        <w:rPr>
          <w:color w:val="2F5496" w:themeColor="accent1" w:themeShade="BF"/>
          <w:sz w:val="20"/>
          <w:szCs w:val="20"/>
        </w:rPr>
        <w:t>mini-grantees</w:t>
      </w:r>
      <w:proofErr w:type="gramEnd"/>
      <w:r w:rsidRPr="00BD58B4">
        <w:rPr>
          <w:color w:val="2F5496" w:themeColor="accent1" w:themeShade="BF"/>
          <w:sz w:val="20"/>
          <w:szCs w:val="20"/>
        </w:rPr>
        <w:t xml:space="preserve"> per the guidance from </w:t>
      </w:r>
      <w:r w:rsidR="00BD58B4">
        <w:rPr>
          <w:color w:val="2F5496" w:themeColor="accent1" w:themeShade="BF"/>
          <w:sz w:val="20"/>
          <w:szCs w:val="20"/>
        </w:rPr>
        <w:t xml:space="preserve">the </w:t>
      </w:r>
      <w:r w:rsidRPr="00BD58B4">
        <w:rPr>
          <w:color w:val="2F5496" w:themeColor="accent1" w:themeShade="BF"/>
          <w:sz w:val="20"/>
          <w:szCs w:val="20"/>
        </w:rPr>
        <w:t>U.S. Department of Education.</w:t>
      </w:r>
    </w:p>
    <w:p w14:paraId="6FE662B7" w14:textId="77777777" w:rsidR="00FB42C0" w:rsidRPr="00BD58B4" w:rsidRDefault="00FB42C0" w:rsidP="00BD58B4">
      <w:pPr>
        <w:spacing w:after="0"/>
        <w:contextualSpacing/>
        <w:jc w:val="both"/>
        <w:rPr>
          <w:color w:val="2F5496" w:themeColor="accent1" w:themeShade="BF"/>
          <w:sz w:val="20"/>
          <w:szCs w:val="20"/>
        </w:rPr>
      </w:pPr>
    </w:p>
    <w:p w14:paraId="7465F8F8" w14:textId="77777777" w:rsidR="00FB42C0" w:rsidRPr="00BD58B4" w:rsidRDefault="00FB42C0" w:rsidP="00BD58B4">
      <w:pPr>
        <w:spacing w:after="0"/>
        <w:contextualSpacing/>
        <w:jc w:val="both"/>
        <w:rPr>
          <w:color w:val="2F5496" w:themeColor="accent1" w:themeShade="BF"/>
          <w:sz w:val="20"/>
          <w:szCs w:val="20"/>
        </w:rPr>
      </w:pPr>
      <w:r w:rsidRPr="00BD58B4">
        <w:rPr>
          <w:color w:val="2F5496" w:themeColor="accent1" w:themeShade="BF"/>
          <w:sz w:val="20"/>
          <w:szCs w:val="20"/>
        </w:rPr>
        <w:t xml:space="preserve">PRC 184 is the second installment of emergency federal funding to PSUs and was provided using a formula established by the U. S. Department of Education.  </w:t>
      </w:r>
    </w:p>
    <w:p w14:paraId="077BEF73" w14:textId="2C169FC9" w:rsidR="00FB42C0" w:rsidRPr="00BD58B4" w:rsidRDefault="00FB42C0" w:rsidP="00BD58B4">
      <w:pPr>
        <w:spacing w:after="0"/>
        <w:contextualSpacing/>
        <w:jc w:val="both"/>
        <w:rPr>
          <w:sz w:val="20"/>
          <w:szCs w:val="20"/>
        </w:rPr>
      </w:pPr>
    </w:p>
    <w:p w14:paraId="66EE5A70" w14:textId="748EC20F" w:rsidR="00FB42C0" w:rsidRPr="00BD58B4" w:rsidRDefault="00FB42C0" w:rsidP="00BD58B4">
      <w:pPr>
        <w:spacing w:after="0"/>
        <w:contextualSpacing/>
        <w:jc w:val="both"/>
        <w:rPr>
          <w:color w:val="2F5496" w:themeColor="accent1" w:themeShade="BF"/>
          <w:sz w:val="20"/>
          <w:szCs w:val="20"/>
        </w:rPr>
      </w:pPr>
      <w:r w:rsidRPr="00BD58B4">
        <w:rPr>
          <w:color w:val="2F5496" w:themeColor="accent1" w:themeShade="BF"/>
          <w:sz w:val="20"/>
          <w:szCs w:val="20"/>
        </w:rPr>
        <w:t xml:space="preserve">Receiving PRC 183 funds does not disqualify a school district from receiving PRC 184. </w:t>
      </w:r>
      <w:r w:rsidR="00BD58B4">
        <w:rPr>
          <w:color w:val="2F5496" w:themeColor="accent1" w:themeShade="BF"/>
          <w:sz w:val="20"/>
          <w:szCs w:val="20"/>
        </w:rPr>
        <w:t>However, s</w:t>
      </w:r>
      <w:r w:rsidRPr="00BD58B4">
        <w:rPr>
          <w:color w:val="2F5496" w:themeColor="accent1" w:themeShade="BF"/>
          <w:sz w:val="20"/>
          <w:szCs w:val="20"/>
        </w:rPr>
        <w:t xml:space="preserve">chool districts need to meet the eligibility requirements for receiving PRC 184, which are found in the U.S. Department of Education’s </w:t>
      </w:r>
      <w:hyperlink r:id="rId9" w:history="1">
        <w:r w:rsidRPr="00BD58B4">
          <w:rPr>
            <w:rStyle w:val="Hyperlink"/>
            <w:sz w:val="20"/>
            <w:szCs w:val="20"/>
          </w:rPr>
          <w:t>Notice of Final Requirements (NFR)</w:t>
        </w:r>
      </w:hyperlink>
      <w:r w:rsidRPr="00BD58B4">
        <w:rPr>
          <w:rStyle w:val="Hyperlink"/>
          <w:sz w:val="20"/>
          <w:szCs w:val="20"/>
        </w:rPr>
        <w:t>.</w:t>
      </w:r>
      <w:r w:rsidRPr="00BD58B4">
        <w:rPr>
          <w:color w:val="2F5496" w:themeColor="accent1" w:themeShade="BF"/>
          <w:sz w:val="20"/>
          <w:szCs w:val="20"/>
        </w:rPr>
        <w:t xml:space="preserve">  PRC 184 is entitlement funding </w:t>
      </w:r>
      <w:r w:rsidR="009D58A8" w:rsidRPr="00BD58B4">
        <w:rPr>
          <w:color w:val="2F5496" w:themeColor="accent1" w:themeShade="BF"/>
          <w:sz w:val="20"/>
          <w:szCs w:val="20"/>
        </w:rPr>
        <w:t>based</w:t>
      </w:r>
      <w:r w:rsidRPr="00BD58B4">
        <w:rPr>
          <w:color w:val="2F5496" w:themeColor="accent1" w:themeShade="BF"/>
          <w:sz w:val="20"/>
          <w:szCs w:val="20"/>
        </w:rPr>
        <w:t xml:space="preserve"> on the Title I, Part A allotment in </w:t>
      </w:r>
      <w:r w:rsidR="00BD58B4">
        <w:rPr>
          <w:color w:val="2F5496" w:themeColor="accent1" w:themeShade="BF"/>
          <w:sz w:val="20"/>
          <w:szCs w:val="20"/>
        </w:rPr>
        <w:t xml:space="preserve">the </w:t>
      </w:r>
      <w:r w:rsidRPr="00BD58B4">
        <w:rPr>
          <w:color w:val="2F5496" w:themeColor="accent1" w:themeShade="BF"/>
          <w:sz w:val="20"/>
          <w:szCs w:val="20"/>
        </w:rPr>
        <w:t>fiscal year 2020 AND the number of identified students in either the 2018-2019 or 2019-2020 school year.</w:t>
      </w:r>
    </w:p>
    <w:p w14:paraId="7AFCA1EE" w14:textId="1362EDDF" w:rsidR="00FB42C0" w:rsidRPr="00BD58B4" w:rsidRDefault="00FB42C0" w:rsidP="00BD58B4">
      <w:pPr>
        <w:spacing w:after="0"/>
        <w:contextualSpacing/>
        <w:jc w:val="both"/>
        <w:rPr>
          <w:sz w:val="20"/>
          <w:szCs w:val="20"/>
        </w:rPr>
      </w:pPr>
    </w:p>
    <w:p w14:paraId="554C2E0C" w14:textId="668F6F61" w:rsidR="00FB42C0" w:rsidRPr="00BD58B4" w:rsidRDefault="00FB42C0" w:rsidP="00BD58B4">
      <w:pPr>
        <w:spacing w:after="0"/>
        <w:contextualSpacing/>
        <w:jc w:val="both"/>
        <w:rPr>
          <w:sz w:val="20"/>
          <w:szCs w:val="20"/>
        </w:rPr>
      </w:pPr>
    </w:p>
    <w:p w14:paraId="42EC7BED" w14:textId="7846CF53" w:rsidR="00FB42C0" w:rsidRPr="00BD58B4" w:rsidRDefault="00FB42C0" w:rsidP="00BD58B4">
      <w:pPr>
        <w:spacing w:after="0"/>
        <w:contextualSpacing/>
        <w:jc w:val="both"/>
        <w:rPr>
          <w:b/>
          <w:bCs/>
          <w:sz w:val="20"/>
          <w:szCs w:val="20"/>
        </w:rPr>
      </w:pPr>
      <w:r w:rsidRPr="00BD58B4">
        <w:rPr>
          <w:b/>
          <w:bCs/>
          <w:sz w:val="20"/>
          <w:szCs w:val="20"/>
        </w:rPr>
        <w:t xml:space="preserve">Would electronic devices provided through ARP funds such as laptops and hot spots need to be collected after a </w:t>
      </w:r>
      <w:r w:rsidR="00BD58B4">
        <w:rPr>
          <w:b/>
          <w:bCs/>
          <w:sz w:val="20"/>
          <w:szCs w:val="20"/>
        </w:rPr>
        <w:t>specific</w:t>
      </w:r>
      <w:r w:rsidRPr="00BD58B4">
        <w:rPr>
          <w:b/>
          <w:bCs/>
          <w:sz w:val="20"/>
          <w:szCs w:val="20"/>
        </w:rPr>
        <w:t xml:space="preserve"> time?</w:t>
      </w:r>
    </w:p>
    <w:p w14:paraId="122E77CD" w14:textId="4F8C9245" w:rsidR="00FB42C0" w:rsidRPr="00BD58B4" w:rsidRDefault="00FB42C0" w:rsidP="00BD58B4">
      <w:pPr>
        <w:pStyle w:val="CommentText"/>
        <w:spacing w:after="0"/>
        <w:jc w:val="both"/>
        <w:rPr>
          <w:color w:val="2F5496" w:themeColor="accent1" w:themeShade="BF"/>
        </w:rPr>
      </w:pPr>
      <w:r w:rsidRPr="00BD58B4">
        <w:rPr>
          <w:color w:val="2F5496" w:themeColor="accent1" w:themeShade="BF"/>
        </w:rPr>
        <w:t>Follow the district protocol for the purchase, distribution, documentation</w:t>
      </w:r>
      <w:r w:rsidR="00BD58B4">
        <w:rPr>
          <w:color w:val="2F5496" w:themeColor="accent1" w:themeShade="BF"/>
        </w:rPr>
        <w:t>,</w:t>
      </w:r>
      <w:r w:rsidRPr="00BD58B4">
        <w:rPr>
          <w:color w:val="2F5496" w:themeColor="accent1" w:themeShade="BF"/>
        </w:rPr>
        <w:t xml:space="preserve"> and collection of connectivity and electronic devices that are purchased with </w:t>
      </w:r>
      <w:r w:rsidRPr="00BD58B4">
        <w:rPr>
          <w:b/>
          <w:bCs/>
          <w:color w:val="2F5496" w:themeColor="accent1" w:themeShade="BF"/>
        </w:rPr>
        <w:t>ARP</w:t>
      </w:r>
      <w:r w:rsidRPr="00BD58B4">
        <w:rPr>
          <w:color w:val="2F5496" w:themeColor="accent1" w:themeShade="BF"/>
        </w:rPr>
        <w:t xml:space="preserve"> funding.</w:t>
      </w:r>
    </w:p>
    <w:p w14:paraId="4B54D0AF" w14:textId="5C053DA3" w:rsidR="00FB42C0" w:rsidRPr="00BD58B4" w:rsidRDefault="00FB42C0" w:rsidP="00BD58B4">
      <w:pPr>
        <w:pStyle w:val="CommentText"/>
        <w:spacing w:after="0"/>
        <w:jc w:val="both"/>
        <w:rPr>
          <w:color w:val="2F5496" w:themeColor="accent1" w:themeShade="BF"/>
        </w:rPr>
      </w:pPr>
    </w:p>
    <w:p w14:paraId="43689B4F" w14:textId="7B1E1BE8" w:rsidR="00FB42C0" w:rsidRPr="00BD58B4" w:rsidRDefault="00FB42C0" w:rsidP="00BD58B4">
      <w:pPr>
        <w:spacing w:after="0"/>
        <w:contextualSpacing/>
        <w:jc w:val="both"/>
        <w:rPr>
          <w:b/>
          <w:bCs/>
          <w:sz w:val="20"/>
          <w:szCs w:val="20"/>
        </w:rPr>
      </w:pPr>
      <w:r w:rsidRPr="00BD58B4">
        <w:rPr>
          <w:b/>
          <w:bCs/>
          <w:sz w:val="20"/>
          <w:szCs w:val="20"/>
        </w:rPr>
        <w:t xml:space="preserve">Can we hire a tutor to work with homeless students </w:t>
      </w:r>
      <w:r w:rsidR="00BD58B4">
        <w:rPr>
          <w:b/>
          <w:bCs/>
          <w:sz w:val="20"/>
          <w:szCs w:val="20"/>
        </w:rPr>
        <w:t>before, during,</w:t>
      </w:r>
      <w:r w:rsidRPr="00BD58B4">
        <w:rPr>
          <w:b/>
          <w:bCs/>
          <w:sz w:val="20"/>
          <w:szCs w:val="20"/>
        </w:rPr>
        <w:t xml:space="preserve"> or after the school day?</w:t>
      </w:r>
    </w:p>
    <w:p w14:paraId="670FA23B" w14:textId="1F4DD96A" w:rsidR="00FB42C0" w:rsidRPr="00BD58B4" w:rsidRDefault="00FB42C0" w:rsidP="00BD58B4">
      <w:pPr>
        <w:spacing w:after="0"/>
        <w:contextualSpacing/>
        <w:jc w:val="both"/>
        <w:rPr>
          <w:color w:val="2F5496" w:themeColor="accent1" w:themeShade="BF"/>
          <w:sz w:val="20"/>
          <w:szCs w:val="20"/>
        </w:rPr>
      </w:pPr>
      <w:r w:rsidRPr="00BD58B4">
        <w:rPr>
          <w:color w:val="2F5496" w:themeColor="accent1" w:themeShade="BF"/>
          <w:sz w:val="20"/>
          <w:szCs w:val="20"/>
        </w:rPr>
        <w:t>Yes, a tutor can be hired to work with students experiencing homelessness before, during, and after school</w:t>
      </w:r>
      <w:r w:rsidR="00BD58B4">
        <w:rPr>
          <w:color w:val="2F5496" w:themeColor="accent1" w:themeShade="BF"/>
          <w:sz w:val="20"/>
          <w:szCs w:val="20"/>
        </w:rPr>
        <w:t>,</w:t>
      </w:r>
      <w:r w:rsidRPr="00BD58B4">
        <w:rPr>
          <w:color w:val="2F5496" w:themeColor="accent1" w:themeShade="BF"/>
          <w:sz w:val="20"/>
          <w:szCs w:val="20"/>
        </w:rPr>
        <w:t xml:space="preserve"> during school breaks, weekends</w:t>
      </w:r>
      <w:r w:rsidR="00BD58B4">
        <w:rPr>
          <w:color w:val="2F5496" w:themeColor="accent1" w:themeShade="BF"/>
          <w:sz w:val="20"/>
          <w:szCs w:val="20"/>
        </w:rPr>
        <w:t>,</w:t>
      </w:r>
      <w:r w:rsidRPr="00BD58B4">
        <w:rPr>
          <w:color w:val="2F5496" w:themeColor="accent1" w:themeShade="BF"/>
          <w:sz w:val="20"/>
          <w:szCs w:val="20"/>
        </w:rPr>
        <w:t xml:space="preserve"> and summer sessions as needed to support their academic progress, </w:t>
      </w:r>
      <w:r w:rsidR="009D58A8" w:rsidRPr="00BD58B4">
        <w:rPr>
          <w:color w:val="2F5496" w:themeColor="accent1" w:themeShade="BF"/>
          <w:sz w:val="20"/>
          <w:szCs w:val="20"/>
        </w:rPr>
        <w:t>success,</w:t>
      </w:r>
      <w:r w:rsidRPr="00BD58B4">
        <w:rPr>
          <w:color w:val="2F5496" w:themeColor="accent1" w:themeShade="BF"/>
          <w:sz w:val="20"/>
          <w:szCs w:val="20"/>
        </w:rPr>
        <w:t xml:space="preserve"> and credit accrual.</w:t>
      </w:r>
    </w:p>
    <w:p w14:paraId="389E274D" w14:textId="1D015FDA" w:rsidR="00FB42C0" w:rsidRPr="00BD58B4" w:rsidRDefault="00FB42C0" w:rsidP="00BD58B4">
      <w:pPr>
        <w:pStyle w:val="CommentText"/>
        <w:spacing w:after="0"/>
        <w:jc w:val="both"/>
        <w:rPr>
          <w:color w:val="2F5496" w:themeColor="accent1" w:themeShade="BF"/>
        </w:rPr>
      </w:pPr>
    </w:p>
    <w:p w14:paraId="654A216D" w14:textId="4D21919C" w:rsidR="00FB42C0" w:rsidRPr="00BD58B4" w:rsidRDefault="00FB42C0" w:rsidP="00BD58B4">
      <w:pPr>
        <w:spacing w:after="0"/>
        <w:contextualSpacing/>
        <w:jc w:val="both"/>
        <w:rPr>
          <w:b/>
          <w:bCs/>
          <w:sz w:val="20"/>
          <w:szCs w:val="20"/>
        </w:rPr>
      </w:pPr>
      <w:r w:rsidRPr="00BD58B4">
        <w:rPr>
          <w:b/>
          <w:bCs/>
          <w:sz w:val="20"/>
          <w:szCs w:val="20"/>
        </w:rPr>
        <w:t>The total being asked for at the beginning of the application is it:</w:t>
      </w:r>
    </w:p>
    <w:p w14:paraId="67F12D2F" w14:textId="7720F14E" w:rsidR="00FB42C0" w:rsidRPr="00BD58B4" w:rsidRDefault="00BD58B4" w:rsidP="00BD58B4">
      <w:pPr>
        <w:pStyle w:val="ListParagraph"/>
        <w:numPr>
          <w:ilvl w:val="0"/>
          <w:numId w:val="2"/>
        </w:numPr>
        <w:spacing w:after="0"/>
        <w:jc w:val="both"/>
        <w:rPr>
          <w:b/>
          <w:bCs/>
          <w:sz w:val="20"/>
          <w:szCs w:val="20"/>
        </w:rPr>
      </w:pPr>
      <w:r>
        <w:rPr>
          <w:b/>
          <w:bCs/>
          <w:sz w:val="20"/>
          <w:szCs w:val="20"/>
        </w:rPr>
        <w:t>T</w:t>
      </w:r>
      <w:r w:rsidR="00FB42C0" w:rsidRPr="00BD58B4">
        <w:rPr>
          <w:b/>
          <w:bCs/>
          <w:sz w:val="20"/>
          <w:szCs w:val="20"/>
        </w:rPr>
        <w:t>he total number that was submitted at year</w:t>
      </w:r>
      <w:r>
        <w:rPr>
          <w:b/>
          <w:bCs/>
          <w:sz w:val="20"/>
          <w:szCs w:val="20"/>
        </w:rPr>
        <w:t>-</w:t>
      </w:r>
      <w:r w:rsidR="00FB42C0" w:rsidRPr="00BD58B4">
        <w:rPr>
          <w:b/>
          <w:bCs/>
          <w:sz w:val="20"/>
          <w:szCs w:val="20"/>
        </w:rPr>
        <w:t>end through the Homeless database or</w:t>
      </w:r>
    </w:p>
    <w:p w14:paraId="2A5F5511" w14:textId="4978331D" w:rsidR="00FB42C0" w:rsidRPr="00BD58B4" w:rsidRDefault="00BD58B4" w:rsidP="00BD58B4">
      <w:pPr>
        <w:pStyle w:val="ListParagraph"/>
        <w:numPr>
          <w:ilvl w:val="0"/>
          <w:numId w:val="2"/>
        </w:numPr>
        <w:spacing w:after="0"/>
        <w:jc w:val="both"/>
        <w:rPr>
          <w:b/>
          <w:bCs/>
          <w:sz w:val="20"/>
          <w:szCs w:val="20"/>
        </w:rPr>
      </w:pPr>
      <w:r>
        <w:rPr>
          <w:b/>
          <w:bCs/>
          <w:sz w:val="20"/>
          <w:szCs w:val="20"/>
        </w:rPr>
        <w:t>T</w:t>
      </w:r>
      <w:r w:rsidR="00FB42C0" w:rsidRPr="00BD58B4">
        <w:rPr>
          <w:b/>
          <w:bCs/>
          <w:sz w:val="20"/>
          <w:szCs w:val="20"/>
        </w:rPr>
        <w:t>he total that was identified and enrolled at some time during the school year?</w:t>
      </w:r>
    </w:p>
    <w:p w14:paraId="3D8C70EF" w14:textId="6E967DEF" w:rsidR="00FB42C0" w:rsidRPr="00BD58B4" w:rsidRDefault="00FB42C0" w:rsidP="00BD58B4">
      <w:pPr>
        <w:spacing w:after="0"/>
        <w:contextualSpacing/>
        <w:jc w:val="both"/>
        <w:rPr>
          <w:color w:val="2F5496" w:themeColor="accent1" w:themeShade="BF"/>
          <w:sz w:val="20"/>
          <w:szCs w:val="20"/>
        </w:rPr>
      </w:pPr>
      <w:r w:rsidRPr="00BD58B4">
        <w:rPr>
          <w:color w:val="2F5496" w:themeColor="accent1" w:themeShade="BF"/>
          <w:sz w:val="20"/>
          <w:szCs w:val="20"/>
        </w:rPr>
        <w:t>The total student count requested in Question 1 refers to the total count submitted in the PSU’s end-of-year data collection submission through PowerSchool.</w:t>
      </w:r>
    </w:p>
    <w:p w14:paraId="1E6A25B9" w14:textId="6935F343" w:rsidR="00BD58B4" w:rsidRDefault="00BD58B4" w:rsidP="00BD58B4">
      <w:pPr>
        <w:spacing w:after="0"/>
        <w:contextualSpacing/>
        <w:jc w:val="both"/>
        <w:rPr>
          <w:color w:val="2F5496" w:themeColor="accent1" w:themeShade="BF"/>
          <w:sz w:val="20"/>
          <w:szCs w:val="20"/>
        </w:rPr>
      </w:pPr>
    </w:p>
    <w:p w14:paraId="55C22F00" w14:textId="1591EECA" w:rsidR="00BD58B4" w:rsidRDefault="00BD58B4" w:rsidP="00BD58B4">
      <w:pPr>
        <w:spacing w:after="0"/>
        <w:contextualSpacing/>
        <w:rPr>
          <w:color w:val="2F5496" w:themeColor="accent1" w:themeShade="BF"/>
          <w:sz w:val="20"/>
          <w:szCs w:val="20"/>
        </w:rPr>
      </w:pPr>
    </w:p>
    <w:p w14:paraId="7B7152F5" w14:textId="0C23C506" w:rsidR="00BD58B4" w:rsidRPr="00BD58B4" w:rsidRDefault="00BD58B4" w:rsidP="00BD58B4">
      <w:pPr>
        <w:pStyle w:val="NormalWeb"/>
        <w:shd w:val="clear" w:color="auto" w:fill="FFFFFF"/>
        <w:spacing w:before="0" w:beforeAutospacing="0" w:after="0" w:afterAutospacing="0" w:line="224" w:lineRule="atLeast"/>
        <w:jc w:val="center"/>
        <w:rPr>
          <w:rFonts w:ascii="Calibri" w:hAnsi="Calibri" w:cs="Calibri"/>
          <w:b/>
          <w:bCs/>
          <w:color w:val="222222"/>
          <w:sz w:val="18"/>
          <w:szCs w:val="18"/>
        </w:rPr>
      </w:pPr>
      <w:r w:rsidRPr="00BD58B4">
        <w:rPr>
          <w:rFonts w:ascii="Calibri" w:hAnsi="Calibri" w:cs="Calibri"/>
          <w:b/>
          <w:bCs/>
          <w:color w:val="222222"/>
          <w:sz w:val="18"/>
          <w:szCs w:val="18"/>
        </w:rPr>
        <w:t>Responses prepared by:</w:t>
      </w:r>
    </w:p>
    <w:p w14:paraId="7D2B41C0" w14:textId="512619EE" w:rsidR="00BD58B4" w:rsidRPr="00BD58B4" w:rsidRDefault="00BD58B4" w:rsidP="00BD58B4">
      <w:pPr>
        <w:pStyle w:val="NormalWeb"/>
        <w:shd w:val="clear" w:color="auto" w:fill="FFFFFF"/>
        <w:spacing w:before="0" w:beforeAutospacing="0" w:after="0" w:afterAutospacing="0" w:line="224" w:lineRule="atLeast"/>
        <w:rPr>
          <w:rFonts w:ascii="Calibri" w:hAnsi="Calibri" w:cs="Calibri"/>
          <w:color w:val="222222"/>
          <w:sz w:val="18"/>
          <w:szCs w:val="18"/>
        </w:rPr>
      </w:pPr>
      <w:r w:rsidRPr="00BD58B4">
        <w:rPr>
          <w:rFonts w:ascii="Calibri" w:hAnsi="Calibri" w:cs="Calibri"/>
          <w:color w:val="222222"/>
          <w:sz w:val="18"/>
          <w:szCs w:val="18"/>
        </w:rPr>
        <w:t>Patricia Lentz, Program Specialist</w:t>
      </w:r>
      <w:r>
        <w:rPr>
          <w:rFonts w:ascii="Calibri" w:hAnsi="Calibri" w:cs="Calibri"/>
          <w:color w:val="222222"/>
          <w:sz w:val="18"/>
          <w:szCs w:val="18"/>
        </w:rPr>
        <w:t xml:space="preserve">  and </w:t>
      </w:r>
      <w:r w:rsidRPr="00BD58B4">
        <w:rPr>
          <w:rFonts w:ascii="Calibri" w:hAnsi="Calibri" w:cs="Calibri"/>
          <w:color w:val="222222"/>
          <w:sz w:val="18"/>
          <w:szCs w:val="18"/>
        </w:rPr>
        <w:t>Lisa Phillips, State Coordinator for the Education of Homeless Children and Youth </w:t>
      </w:r>
    </w:p>
    <w:p w14:paraId="7F864D4B" w14:textId="77777777" w:rsidR="00BD58B4" w:rsidRPr="00BD58B4" w:rsidRDefault="00BD58B4" w:rsidP="00BD58B4">
      <w:pPr>
        <w:pStyle w:val="NormalWeb"/>
        <w:shd w:val="clear" w:color="auto" w:fill="FFFFFF"/>
        <w:spacing w:before="0" w:beforeAutospacing="0" w:after="0" w:afterAutospacing="0"/>
        <w:rPr>
          <w:rFonts w:ascii="Arial" w:hAnsi="Arial" w:cs="Arial"/>
          <w:color w:val="222222"/>
          <w:sz w:val="18"/>
          <w:szCs w:val="18"/>
        </w:rPr>
      </w:pPr>
      <w:r w:rsidRPr="00BD58B4">
        <w:rPr>
          <w:rFonts w:ascii="Calibri" w:hAnsi="Calibri" w:cs="Calibri"/>
          <w:color w:val="222222"/>
          <w:sz w:val="18"/>
          <w:szCs w:val="18"/>
        </w:rPr>
        <w:t>NC Department of Public Instruction</w:t>
      </w:r>
    </w:p>
    <w:p w14:paraId="5E5041D6" w14:textId="77777777" w:rsidR="00BD58B4" w:rsidRPr="00BD58B4" w:rsidRDefault="00BD58B4" w:rsidP="00BD58B4">
      <w:pPr>
        <w:pStyle w:val="NormalWeb"/>
        <w:shd w:val="clear" w:color="auto" w:fill="FFFFFF"/>
        <w:spacing w:before="0" w:beforeAutospacing="0" w:after="0" w:afterAutospacing="0" w:line="224" w:lineRule="atLeast"/>
        <w:rPr>
          <w:rFonts w:ascii="Arial" w:hAnsi="Arial" w:cs="Arial"/>
          <w:color w:val="222222"/>
          <w:sz w:val="18"/>
          <w:szCs w:val="18"/>
        </w:rPr>
      </w:pPr>
      <w:r w:rsidRPr="00BD58B4">
        <w:rPr>
          <w:rFonts w:ascii="Calibri" w:hAnsi="Calibri" w:cs="Calibri"/>
          <w:color w:val="222222"/>
          <w:sz w:val="18"/>
          <w:szCs w:val="18"/>
        </w:rPr>
        <w:t>Office of the Deputy State Superintendent of Innovation </w:t>
      </w:r>
    </w:p>
    <w:p w14:paraId="7AAC75D5" w14:textId="77777777" w:rsidR="00BD58B4" w:rsidRPr="00BD58B4" w:rsidRDefault="00BD58B4" w:rsidP="00BD58B4">
      <w:pPr>
        <w:pStyle w:val="NormalWeb"/>
        <w:shd w:val="clear" w:color="auto" w:fill="FFFFFF"/>
        <w:spacing w:before="0" w:beforeAutospacing="0" w:after="0" w:afterAutospacing="0" w:line="224" w:lineRule="atLeast"/>
        <w:rPr>
          <w:rFonts w:ascii="Calibri" w:hAnsi="Calibri" w:cs="Calibri"/>
          <w:color w:val="222222"/>
          <w:sz w:val="18"/>
          <w:szCs w:val="18"/>
        </w:rPr>
      </w:pPr>
      <w:r w:rsidRPr="00BD58B4">
        <w:rPr>
          <w:rFonts w:ascii="Calibri" w:hAnsi="Calibri" w:cs="Calibri"/>
          <w:color w:val="222222"/>
          <w:sz w:val="18"/>
          <w:szCs w:val="18"/>
        </w:rPr>
        <w:t>Federal Program Monitoring and Support Division</w:t>
      </w:r>
      <w:r w:rsidRPr="00BD58B4">
        <w:rPr>
          <w:rFonts w:ascii="Calibri" w:hAnsi="Calibri" w:cs="Calibri"/>
          <w:color w:val="222222"/>
          <w:sz w:val="18"/>
          <w:szCs w:val="18"/>
        </w:rPr>
        <w:br/>
      </w:r>
      <w:hyperlink r:id="rId10" w:history="1">
        <w:r w:rsidRPr="00BD58B4">
          <w:rPr>
            <w:rStyle w:val="Hyperlink"/>
            <w:rFonts w:ascii="Calibri" w:hAnsi="Calibri" w:cs="Calibri"/>
            <w:sz w:val="18"/>
            <w:szCs w:val="18"/>
          </w:rPr>
          <w:t>patrica.lentz@dpi.nc.gov</w:t>
        </w:r>
      </w:hyperlink>
      <w:r w:rsidRPr="00BD58B4">
        <w:rPr>
          <w:rFonts w:ascii="Calibri" w:hAnsi="Calibri" w:cs="Calibri"/>
          <w:color w:val="222222"/>
          <w:sz w:val="18"/>
          <w:szCs w:val="18"/>
        </w:rPr>
        <w:t xml:space="preserve"> </w:t>
      </w:r>
    </w:p>
    <w:p w14:paraId="73A0F36A" w14:textId="2D5B280A" w:rsidR="00BD58B4" w:rsidRPr="00BD58B4" w:rsidRDefault="00EA2C2D" w:rsidP="00BD58B4">
      <w:pPr>
        <w:pStyle w:val="NormalWeb"/>
        <w:shd w:val="clear" w:color="auto" w:fill="FFFFFF"/>
        <w:spacing w:before="0" w:beforeAutospacing="0" w:after="0" w:afterAutospacing="0" w:line="224" w:lineRule="atLeast"/>
        <w:rPr>
          <w:rFonts w:ascii="Calibri" w:hAnsi="Calibri" w:cs="Calibri"/>
          <w:color w:val="222222"/>
          <w:sz w:val="18"/>
          <w:szCs w:val="18"/>
        </w:rPr>
      </w:pPr>
      <w:hyperlink r:id="rId11" w:tgtFrame="_blank" w:history="1">
        <w:r w:rsidR="00BD58B4" w:rsidRPr="00BD58B4">
          <w:rPr>
            <w:rStyle w:val="Hyperlink"/>
            <w:rFonts w:ascii="Calibri" w:hAnsi="Calibri" w:cs="Calibri"/>
            <w:color w:val="1155CC"/>
            <w:sz w:val="18"/>
            <w:szCs w:val="18"/>
          </w:rPr>
          <w:t>lisa.phillips@dpi.nc.gov</w:t>
        </w:r>
      </w:hyperlink>
      <w:r w:rsidR="00BD58B4" w:rsidRPr="00BD58B4">
        <w:rPr>
          <w:rFonts w:ascii="Calibri" w:hAnsi="Calibri" w:cs="Calibri"/>
          <w:color w:val="222222"/>
          <w:sz w:val="18"/>
          <w:szCs w:val="18"/>
        </w:rPr>
        <w:t> </w:t>
      </w:r>
    </w:p>
    <w:p w14:paraId="1D1BE2AC" w14:textId="77777777" w:rsidR="00BD58B4" w:rsidRPr="00BD58B4" w:rsidRDefault="00BD58B4" w:rsidP="00BD58B4">
      <w:pPr>
        <w:pStyle w:val="NormalWeb"/>
        <w:shd w:val="clear" w:color="auto" w:fill="FFFFFF"/>
        <w:spacing w:before="0" w:beforeAutospacing="0" w:after="0" w:afterAutospacing="0" w:line="224" w:lineRule="atLeast"/>
        <w:rPr>
          <w:rFonts w:ascii="Arial" w:hAnsi="Arial" w:cs="Arial"/>
          <w:color w:val="222222"/>
          <w:sz w:val="18"/>
          <w:szCs w:val="18"/>
        </w:rPr>
      </w:pPr>
    </w:p>
    <w:p w14:paraId="5386ACE6" w14:textId="0DC08280" w:rsidR="00BD58B4" w:rsidRPr="00BD58B4" w:rsidRDefault="00EA2C2D" w:rsidP="00BD58B4">
      <w:pPr>
        <w:pStyle w:val="NormalWeb"/>
        <w:shd w:val="clear" w:color="auto" w:fill="FFFFFF"/>
        <w:spacing w:before="0" w:beforeAutospacing="0" w:after="0" w:afterAutospacing="0" w:line="224" w:lineRule="atLeast"/>
        <w:jc w:val="center"/>
        <w:rPr>
          <w:rFonts w:ascii="Calibri" w:hAnsi="Calibri" w:cs="Calibri"/>
          <w:color w:val="000000"/>
          <w:sz w:val="18"/>
          <w:szCs w:val="18"/>
        </w:rPr>
      </w:pPr>
      <w:hyperlink r:id="rId12" w:tgtFrame="_blank" w:history="1">
        <w:r w:rsidR="00BD58B4" w:rsidRPr="00BD58B4">
          <w:rPr>
            <w:rStyle w:val="Hyperlink"/>
            <w:rFonts w:ascii="Calibri" w:hAnsi="Calibri" w:cs="Calibri"/>
            <w:color w:val="1155CC"/>
            <w:sz w:val="18"/>
            <w:szCs w:val="18"/>
          </w:rPr>
          <w:t>https://hepnc.uncg.edu/</w:t>
        </w:r>
      </w:hyperlink>
    </w:p>
    <w:p w14:paraId="00A72C90" w14:textId="40A436A0" w:rsidR="00BD58B4" w:rsidRPr="00BD58B4" w:rsidRDefault="00EA2C2D" w:rsidP="00BD58B4">
      <w:pPr>
        <w:pStyle w:val="NormalWeb"/>
        <w:shd w:val="clear" w:color="auto" w:fill="FFFFFF"/>
        <w:spacing w:before="0" w:beforeAutospacing="0" w:after="0" w:afterAutospacing="0" w:line="224" w:lineRule="atLeast"/>
        <w:jc w:val="center"/>
        <w:rPr>
          <w:rFonts w:ascii="Arial" w:hAnsi="Arial" w:cs="Arial"/>
          <w:color w:val="222222"/>
          <w:sz w:val="18"/>
          <w:szCs w:val="18"/>
        </w:rPr>
      </w:pPr>
      <w:hyperlink r:id="rId13" w:history="1">
        <w:r w:rsidR="00BD58B4" w:rsidRPr="00BD58B4">
          <w:rPr>
            <w:rStyle w:val="Hyperlink"/>
            <w:rFonts w:ascii="Calibri" w:hAnsi="Calibri" w:cs="Calibri"/>
            <w:sz w:val="18"/>
            <w:szCs w:val="18"/>
          </w:rPr>
          <w:t>https://www.dpi.nc.gov/districts-schools/federal-program-monitoring/homeless-program-monitoring</w:t>
        </w:r>
      </w:hyperlink>
    </w:p>
    <w:p w14:paraId="1A82826B" w14:textId="77777777" w:rsidR="00BD58B4" w:rsidRPr="00BD58B4" w:rsidRDefault="00BD58B4" w:rsidP="00BD58B4">
      <w:pPr>
        <w:spacing w:after="0"/>
        <w:contextualSpacing/>
        <w:rPr>
          <w:color w:val="2F5496" w:themeColor="accent1" w:themeShade="BF"/>
          <w:sz w:val="18"/>
          <w:szCs w:val="18"/>
        </w:rPr>
      </w:pPr>
    </w:p>
    <w:sectPr w:rsidR="00BD58B4" w:rsidRPr="00BD58B4" w:rsidSect="006E739C">
      <w:headerReference w:type="default" r:id="rId14"/>
      <w:footerReference w:type="default" r:id="rId15"/>
      <w:headerReference w:type="first" r:id="rId16"/>
      <w:footerReference w:type="first" r:id="rId17"/>
      <w:pgSz w:w="12240" w:h="15840" w:code="1"/>
      <w:pgMar w:top="1008" w:right="1440" w:bottom="1008"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18895" w14:textId="77777777" w:rsidR="00EA2C2D" w:rsidRDefault="00EA2C2D" w:rsidP="003707D1">
      <w:pPr>
        <w:spacing w:after="0" w:line="240" w:lineRule="auto"/>
      </w:pPr>
      <w:r>
        <w:separator/>
      </w:r>
    </w:p>
  </w:endnote>
  <w:endnote w:type="continuationSeparator" w:id="0">
    <w:p w14:paraId="7FA64940" w14:textId="77777777" w:rsidR="00EA2C2D" w:rsidRDefault="00EA2C2D" w:rsidP="00370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821267"/>
      <w:docPartObj>
        <w:docPartGallery w:val="Page Numbers (Bottom of Page)"/>
        <w:docPartUnique/>
      </w:docPartObj>
    </w:sdtPr>
    <w:sdtEndPr/>
    <w:sdtContent>
      <w:sdt>
        <w:sdtPr>
          <w:id w:val="-1769616900"/>
          <w:docPartObj>
            <w:docPartGallery w:val="Page Numbers (Top of Page)"/>
            <w:docPartUnique/>
          </w:docPartObj>
        </w:sdtPr>
        <w:sdtEndPr/>
        <w:sdtContent>
          <w:p w14:paraId="78D0A57B" w14:textId="21764EDE" w:rsidR="00BD58B4" w:rsidRDefault="00BD58B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9ADFE9D" w14:textId="77777777" w:rsidR="00A105ED" w:rsidRDefault="00A105ED" w:rsidP="00A105E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66135" w14:textId="7087BA41" w:rsidR="00331BCE" w:rsidRPr="00331BCE" w:rsidRDefault="00331BCE" w:rsidP="00331BCE">
    <w:pPr>
      <w:pStyle w:val="Footer"/>
      <w:jc w:val="right"/>
      <w:rPr>
        <w:i/>
        <w:iCs/>
        <w:sz w:val="18"/>
        <w:szCs w:val="18"/>
      </w:rPr>
    </w:pPr>
    <w:r w:rsidRPr="00331BCE">
      <w:rPr>
        <w:i/>
        <w:iCs/>
        <w:sz w:val="18"/>
        <w:szCs w:val="18"/>
      </w:rPr>
      <w:t>November 8,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75A2E" w14:textId="77777777" w:rsidR="00EA2C2D" w:rsidRDefault="00EA2C2D" w:rsidP="003707D1">
      <w:pPr>
        <w:spacing w:after="0" w:line="240" w:lineRule="auto"/>
      </w:pPr>
      <w:r>
        <w:separator/>
      </w:r>
    </w:p>
  </w:footnote>
  <w:footnote w:type="continuationSeparator" w:id="0">
    <w:p w14:paraId="7FB8F4ED" w14:textId="77777777" w:rsidR="00EA2C2D" w:rsidRDefault="00EA2C2D" w:rsidP="00370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92D7" w14:textId="77777777" w:rsidR="00976674" w:rsidRPr="00976674" w:rsidRDefault="00976674" w:rsidP="00976674">
    <w:pPr>
      <w:jc w:val="right"/>
      <w:rPr>
        <w:b/>
        <w:bCs/>
        <w:sz w:val="24"/>
        <w:szCs w:val="24"/>
      </w:rPr>
    </w:pPr>
    <w:r w:rsidRPr="00976674">
      <w:rPr>
        <w:b/>
        <w:bCs/>
        <w:sz w:val="24"/>
        <w:szCs w:val="24"/>
      </w:rPr>
      <w:t>PRC184 Frequently Asked Questions (FAQ)</w:t>
    </w:r>
  </w:p>
  <w:p w14:paraId="7807E638" w14:textId="3EB0951F" w:rsidR="003707D1" w:rsidRDefault="003707D1" w:rsidP="003707D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3227" w14:textId="0BDF2A60" w:rsidR="00976674" w:rsidRDefault="00976674" w:rsidP="00976674">
    <w:pPr>
      <w:pStyle w:val="Header"/>
      <w:jc w:val="center"/>
    </w:pPr>
    <w:r>
      <w:rPr>
        <w:noProof/>
      </w:rPr>
      <w:drawing>
        <wp:inline distT="0" distB="0" distL="0" distR="0" wp14:anchorId="0B695B47" wp14:editId="2C4F54EC">
          <wp:extent cx="5147302" cy="3676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158145" cy="368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298"/>
    <w:multiLevelType w:val="multilevel"/>
    <w:tmpl w:val="6E4A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D7EA6"/>
    <w:multiLevelType w:val="hybridMultilevel"/>
    <w:tmpl w:val="B1C41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CC112C"/>
    <w:multiLevelType w:val="hybridMultilevel"/>
    <w:tmpl w:val="F966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xmdBPpFT+vPP1MlozIfFIb/8L24nCGo+DdPYdvY+qxml0HEuS8RePBkjvsitG5eLGLE4gfrGMN6BUjcdoa89hA==" w:salt="SRErE1u8fm6kegk7axdkX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0MDC3MLIwNDa2MLNQ0lEKTi0uzszPAykwqgUAlPo9WCwAAAA="/>
  </w:docVars>
  <w:rsids>
    <w:rsidRoot w:val="003707D1"/>
    <w:rsid w:val="000A42E0"/>
    <w:rsid w:val="000B0A6D"/>
    <w:rsid w:val="000B328D"/>
    <w:rsid w:val="000C1159"/>
    <w:rsid w:val="000C429D"/>
    <w:rsid w:val="000E72FD"/>
    <w:rsid w:val="00100B54"/>
    <w:rsid w:val="001134D4"/>
    <w:rsid w:val="001344C5"/>
    <w:rsid w:val="00182095"/>
    <w:rsid w:val="001C16B6"/>
    <w:rsid w:val="001D21E5"/>
    <w:rsid w:val="00207121"/>
    <w:rsid w:val="00207686"/>
    <w:rsid w:val="002143CB"/>
    <w:rsid w:val="002345FB"/>
    <w:rsid w:val="00272A1D"/>
    <w:rsid w:val="00290E51"/>
    <w:rsid w:val="002B5508"/>
    <w:rsid w:val="002E197C"/>
    <w:rsid w:val="002E2BA5"/>
    <w:rsid w:val="003259F6"/>
    <w:rsid w:val="00331BCE"/>
    <w:rsid w:val="003707D1"/>
    <w:rsid w:val="00377D16"/>
    <w:rsid w:val="003B4878"/>
    <w:rsid w:val="00464076"/>
    <w:rsid w:val="0047126F"/>
    <w:rsid w:val="004760FA"/>
    <w:rsid w:val="004B184C"/>
    <w:rsid w:val="004C18F0"/>
    <w:rsid w:val="004C40F5"/>
    <w:rsid w:val="004E4800"/>
    <w:rsid w:val="00574FC5"/>
    <w:rsid w:val="00585AD2"/>
    <w:rsid w:val="005A3AD9"/>
    <w:rsid w:val="005B0FA6"/>
    <w:rsid w:val="005B5A63"/>
    <w:rsid w:val="005C0CCF"/>
    <w:rsid w:val="005D6538"/>
    <w:rsid w:val="00631186"/>
    <w:rsid w:val="00635E25"/>
    <w:rsid w:val="006862B8"/>
    <w:rsid w:val="006C3D7B"/>
    <w:rsid w:val="006E739C"/>
    <w:rsid w:val="00712CE8"/>
    <w:rsid w:val="007141B6"/>
    <w:rsid w:val="00737237"/>
    <w:rsid w:val="00751E72"/>
    <w:rsid w:val="00793866"/>
    <w:rsid w:val="007D1A8F"/>
    <w:rsid w:val="007D2666"/>
    <w:rsid w:val="007D346F"/>
    <w:rsid w:val="007E2703"/>
    <w:rsid w:val="0080555A"/>
    <w:rsid w:val="00834963"/>
    <w:rsid w:val="008373B5"/>
    <w:rsid w:val="0086207B"/>
    <w:rsid w:val="00890206"/>
    <w:rsid w:val="0089284A"/>
    <w:rsid w:val="008C6C64"/>
    <w:rsid w:val="009538B2"/>
    <w:rsid w:val="009718DF"/>
    <w:rsid w:val="00976674"/>
    <w:rsid w:val="009A0EFB"/>
    <w:rsid w:val="009D58A8"/>
    <w:rsid w:val="00A00F1E"/>
    <w:rsid w:val="00A105ED"/>
    <w:rsid w:val="00A2494D"/>
    <w:rsid w:val="00A64415"/>
    <w:rsid w:val="00AD32C7"/>
    <w:rsid w:val="00B06BD4"/>
    <w:rsid w:val="00BD58B4"/>
    <w:rsid w:val="00C53F06"/>
    <w:rsid w:val="00C97281"/>
    <w:rsid w:val="00CC05B0"/>
    <w:rsid w:val="00CC0FCF"/>
    <w:rsid w:val="00D04AE7"/>
    <w:rsid w:val="00D1471D"/>
    <w:rsid w:val="00D4386D"/>
    <w:rsid w:val="00D4601C"/>
    <w:rsid w:val="00D46462"/>
    <w:rsid w:val="00D7632E"/>
    <w:rsid w:val="00DA4453"/>
    <w:rsid w:val="00E4260E"/>
    <w:rsid w:val="00E915AF"/>
    <w:rsid w:val="00EA2C2D"/>
    <w:rsid w:val="00EA7FA8"/>
    <w:rsid w:val="00EE6730"/>
    <w:rsid w:val="00F0462A"/>
    <w:rsid w:val="00F367F4"/>
    <w:rsid w:val="00F5580A"/>
    <w:rsid w:val="00F93675"/>
    <w:rsid w:val="00FB42C0"/>
    <w:rsid w:val="00FC4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C8A74"/>
  <w15:chartTrackingRefBased/>
  <w15:docId w15:val="{4014983E-D090-43F3-9892-D3EB924E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7D1"/>
  </w:style>
  <w:style w:type="paragraph" w:styleId="Footer">
    <w:name w:val="footer"/>
    <w:basedOn w:val="Normal"/>
    <w:link w:val="FooterChar"/>
    <w:uiPriority w:val="99"/>
    <w:unhideWhenUsed/>
    <w:rsid w:val="00370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7D1"/>
  </w:style>
  <w:style w:type="character" w:styleId="CommentReference">
    <w:name w:val="annotation reference"/>
    <w:basedOn w:val="DefaultParagraphFont"/>
    <w:uiPriority w:val="99"/>
    <w:semiHidden/>
    <w:unhideWhenUsed/>
    <w:rsid w:val="00D04AE7"/>
    <w:rPr>
      <w:sz w:val="16"/>
      <w:szCs w:val="16"/>
    </w:rPr>
  </w:style>
  <w:style w:type="paragraph" w:styleId="CommentText">
    <w:name w:val="annotation text"/>
    <w:basedOn w:val="Normal"/>
    <w:link w:val="CommentTextChar"/>
    <w:uiPriority w:val="99"/>
    <w:unhideWhenUsed/>
    <w:rsid w:val="00D04AE7"/>
    <w:pPr>
      <w:spacing w:line="240" w:lineRule="auto"/>
    </w:pPr>
    <w:rPr>
      <w:sz w:val="20"/>
      <w:szCs w:val="20"/>
    </w:rPr>
  </w:style>
  <w:style w:type="character" w:customStyle="1" w:styleId="CommentTextChar">
    <w:name w:val="Comment Text Char"/>
    <w:basedOn w:val="DefaultParagraphFont"/>
    <w:link w:val="CommentText"/>
    <w:uiPriority w:val="99"/>
    <w:rsid w:val="00D04AE7"/>
    <w:rPr>
      <w:sz w:val="20"/>
      <w:szCs w:val="20"/>
    </w:rPr>
  </w:style>
  <w:style w:type="paragraph" w:styleId="CommentSubject">
    <w:name w:val="annotation subject"/>
    <w:basedOn w:val="CommentText"/>
    <w:next w:val="CommentText"/>
    <w:link w:val="CommentSubjectChar"/>
    <w:uiPriority w:val="99"/>
    <w:semiHidden/>
    <w:unhideWhenUsed/>
    <w:rsid w:val="00D04AE7"/>
    <w:rPr>
      <w:b/>
      <w:bCs/>
    </w:rPr>
  </w:style>
  <w:style w:type="character" w:customStyle="1" w:styleId="CommentSubjectChar">
    <w:name w:val="Comment Subject Char"/>
    <w:basedOn w:val="CommentTextChar"/>
    <w:link w:val="CommentSubject"/>
    <w:uiPriority w:val="99"/>
    <w:semiHidden/>
    <w:rsid w:val="00D04AE7"/>
    <w:rPr>
      <w:b/>
      <w:bCs/>
      <w:sz w:val="20"/>
      <w:szCs w:val="20"/>
    </w:rPr>
  </w:style>
  <w:style w:type="paragraph" w:styleId="NormalWeb">
    <w:name w:val="Normal (Web)"/>
    <w:basedOn w:val="Normal"/>
    <w:uiPriority w:val="99"/>
    <w:semiHidden/>
    <w:unhideWhenUsed/>
    <w:rsid w:val="00D464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0462A"/>
    <w:rPr>
      <w:color w:val="0563C1" w:themeColor="hyperlink"/>
      <w:u w:val="single"/>
    </w:rPr>
  </w:style>
  <w:style w:type="character" w:styleId="UnresolvedMention">
    <w:name w:val="Unresolved Mention"/>
    <w:basedOn w:val="DefaultParagraphFont"/>
    <w:uiPriority w:val="99"/>
    <w:semiHidden/>
    <w:unhideWhenUsed/>
    <w:rsid w:val="00F0462A"/>
    <w:rPr>
      <w:color w:val="605E5C"/>
      <w:shd w:val="clear" w:color="auto" w:fill="E1DFDD"/>
    </w:rPr>
  </w:style>
  <w:style w:type="paragraph" w:styleId="ListParagraph">
    <w:name w:val="List Paragraph"/>
    <w:basedOn w:val="Normal"/>
    <w:uiPriority w:val="34"/>
    <w:qFormat/>
    <w:rsid w:val="00FB42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8419">
      <w:bodyDiv w:val="1"/>
      <w:marLeft w:val="0"/>
      <w:marRight w:val="0"/>
      <w:marTop w:val="0"/>
      <w:marBottom w:val="0"/>
      <w:divBdr>
        <w:top w:val="none" w:sz="0" w:space="0" w:color="auto"/>
        <w:left w:val="none" w:sz="0" w:space="0" w:color="auto"/>
        <w:bottom w:val="none" w:sz="0" w:space="0" w:color="auto"/>
        <w:right w:val="none" w:sz="0" w:space="0" w:color="auto"/>
      </w:divBdr>
    </w:div>
    <w:div w:id="946158204">
      <w:bodyDiv w:val="1"/>
      <w:marLeft w:val="0"/>
      <w:marRight w:val="0"/>
      <w:marTop w:val="0"/>
      <w:marBottom w:val="0"/>
      <w:divBdr>
        <w:top w:val="none" w:sz="0" w:space="0" w:color="auto"/>
        <w:left w:val="none" w:sz="0" w:space="0" w:color="auto"/>
        <w:bottom w:val="none" w:sz="0" w:space="0" w:color="auto"/>
        <w:right w:val="none" w:sz="0" w:space="0" w:color="auto"/>
      </w:divBdr>
    </w:div>
    <w:div w:id="1299606247">
      <w:bodyDiv w:val="1"/>
      <w:marLeft w:val="0"/>
      <w:marRight w:val="0"/>
      <w:marTop w:val="0"/>
      <w:marBottom w:val="0"/>
      <w:divBdr>
        <w:top w:val="none" w:sz="0" w:space="0" w:color="auto"/>
        <w:left w:val="none" w:sz="0" w:space="0" w:color="auto"/>
        <w:bottom w:val="none" w:sz="0" w:space="0" w:color="auto"/>
        <w:right w:val="none" w:sz="0" w:space="0" w:color="auto"/>
      </w:divBdr>
    </w:div>
    <w:div w:id="182677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ese.ed.gov/offices/american-rescue-plan/american-rescue-plan-elementary-secondary-school-emergency-relief-homeless-children-youth-arp-hcy/frequently-asked-arp-hcy-questions-and-answers/" TargetMode="External"/><Relationship Id="rId13" Type="http://schemas.openxmlformats.org/officeDocument/2006/relationships/hyperlink" Target="https://www.dpi.nc.gov/districts-schools/federal-program-monitoring/homeless-program-monitor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ese.ed.gov/offices/american-rescue-plan/american-rescue-plan-elementary-secondary-school-emergency-relief-homeless-children-youth-arp-hcy/frequently-asked-arp-hcy-questions-and-answers/" TargetMode="External"/><Relationship Id="rId12" Type="http://schemas.openxmlformats.org/officeDocument/2006/relationships/hyperlink" Target="https://hepnc.uncg.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sa.phillips@dpi.nc.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atrica.lentz@dpi.nc.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ederalregister.gov/documents/2021/07/09/2021-14705/final-requirements-american-rescue-plan-act-homeless-children-and-youth-progra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1108</Words>
  <Characters>6320</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Lentz</dc:creator>
  <cp:keywords/>
  <dc:description/>
  <cp:lastModifiedBy>Lisa Phillips</cp:lastModifiedBy>
  <cp:revision>2</cp:revision>
  <dcterms:created xsi:type="dcterms:W3CDTF">2021-11-10T01:36:00Z</dcterms:created>
  <dcterms:modified xsi:type="dcterms:W3CDTF">2021-11-10T01:36:00Z</dcterms:modified>
</cp:coreProperties>
</file>